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46EF" w:rsidRDefault="00F41E8E" w:rsidP="00E5216B">
      <w:pPr>
        <w:pStyle w:val="Tytu"/>
        <w:jc w:val="both"/>
      </w:pPr>
      <w:proofErr w:type="spellStart"/>
      <w:r>
        <w:t>InfoMaker</w:t>
      </w:r>
      <w:proofErr w:type="spellEnd"/>
      <w:r>
        <w:t xml:space="preserve"> 11.2 –funkcje</w:t>
      </w:r>
      <w:r w:rsidR="00783ECF">
        <w:t xml:space="preserve"> podstawowe</w:t>
      </w:r>
    </w:p>
    <w:p w:rsidR="00FE00CB" w:rsidRDefault="00FE00CB" w:rsidP="00FE00CB"/>
    <w:p w:rsidR="00FE00CB" w:rsidRDefault="00FE00CB" w:rsidP="00FE00CB">
      <w:bookmarkStart w:id="0" w:name="_GoBack"/>
      <w:bookmarkEnd w:id="0"/>
    </w:p>
    <w:p w:rsidR="00FE00CB" w:rsidRDefault="00FE00CB" w:rsidP="00FE00CB"/>
    <w:p w:rsidR="00FE00CB" w:rsidRDefault="00FE00CB" w:rsidP="00FE00CB"/>
    <w:p w:rsidR="00FE00CB" w:rsidRDefault="00FE00CB" w:rsidP="00FE00CB"/>
    <w:p w:rsidR="00FE00CB" w:rsidRPr="00FE00CB" w:rsidRDefault="00FE00CB" w:rsidP="00FE00CB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46916016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783ECF" w:rsidRDefault="00783ECF">
          <w:pPr>
            <w:pStyle w:val="Nagwekspisutreci"/>
          </w:pPr>
          <w:r>
            <w:t>Spis treści</w:t>
          </w:r>
        </w:p>
        <w:p w:rsidR="00783ECF" w:rsidRDefault="00783ECF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88186137" w:history="1">
            <w:r w:rsidRPr="002C6EAC">
              <w:rPr>
                <w:rStyle w:val="Hipercze"/>
                <w:noProof/>
              </w:rPr>
              <w:t>1. Widoki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_Toc388186137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53DE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83ECF" w:rsidRDefault="00BC007A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388186138" w:history="1">
            <w:r w:rsidR="00783ECF" w:rsidRPr="002C6EAC">
              <w:rPr>
                <w:rStyle w:val="Hipercze"/>
                <w:noProof/>
              </w:rPr>
              <w:t>2.  Obiekty</w:t>
            </w:r>
            <w:r w:rsidR="00783ECF">
              <w:rPr>
                <w:noProof/>
                <w:webHidden/>
              </w:rPr>
              <w:tab/>
            </w:r>
            <w:r w:rsidR="00783ECF">
              <w:rPr>
                <w:noProof/>
                <w:webHidden/>
              </w:rPr>
              <w:fldChar w:fldCharType="begin"/>
            </w:r>
            <w:r w:rsidR="00783ECF">
              <w:rPr>
                <w:noProof/>
                <w:webHidden/>
              </w:rPr>
              <w:instrText xml:space="preserve"> PAGEREF _Toc388186138 \h </w:instrText>
            </w:r>
            <w:r w:rsidR="00783ECF">
              <w:rPr>
                <w:noProof/>
                <w:webHidden/>
              </w:rPr>
            </w:r>
            <w:r w:rsidR="00783ECF">
              <w:rPr>
                <w:noProof/>
                <w:webHidden/>
              </w:rPr>
              <w:fldChar w:fldCharType="separate"/>
            </w:r>
            <w:r w:rsidR="005853DE">
              <w:rPr>
                <w:noProof/>
                <w:webHidden/>
              </w:rPr>
              <w:t>6</w:t>
            </w:r>
            <w:r w:rsidR="00783ECF">
              <w:rPr>
                <w:noProof/>
                <w:webHidden/>
              </w:rPr>
              <w:fldChar w:fldCharType="end"/>
            </w:r>
          </w:hyperlink>
        </w:p>
        <w:p w:rsidR="00783ECF" w:rsidRDefault="00BC007A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388186139" w:history="1">
            <w:r w:rsidR="00783ECF" w:rsidRPr="002C6EAC">
              <w:rPr>
                <w:rStyle w:val="Hipercze"/>
                <w:noProof/>
              </w:rPr>
              <w:t>3. Modyfikacja i właściwości pól tekstowych</w:t>
            </w:r>
            <w:r w:rsidR="00783ECF">
              <w:rPr>
                <w:noProof/>
                <w:webHidden/>
              </w:rPr>
              <w:tab/>
            </w:r>
            <w:r w:rsidR="00783ECF">
              <w:rPr>
                <w:noProof/>
                <w:webHidden/>
              </w:rPr>
              <w:fldChar w:fldCharType="begin"/>
            </w:r>
            <w:r w:rsidR="00783ECF">
              <w:rPr>
                <w:noProof/>
                <w:webHidden/>
              </w:rPr>
              <w:instrText xml:space="preserve"> PAGEREF _Toc388186139 \h </w:instrText>
            </w:r>
            <w:r w:rsidR="00783ECF">
              <w:rPr>
                <w:noProof/>
                <w:webHidden/>
              </w:rPr>
            </w:r>
            <w:r w:rsidR="00783ECF">
              <w:rPr>
                <w:noProof/>
                <w:webHidden/>
              </w:rPr>
              <w:fldChar w:fldCharType="separate"/>
            </w:r>
            <w:r w:rsidR="005853DE">
              <w:rPr>
                <w:noProof/>
                <w:webHidden/>
              </w:rPr>
              <w:t>7</w:t>
            </w:r>
            <w:r w:rsidR="00783ECF">
              <w:rPr>
                <w:noProof/>
                <w:webHidden/>
              </w:rPr>
              <w:fldChar w:fldCharType="end"/>
            </w:r>
          </w:hyperlink>
        </w:p>
        <w:p w:rsidR="00783ECF" w:rsidRDefault="00BC007A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388186140" w:history="1">
            <w:r w:rsidR="00783ECF" w:rsidRPr="002C6EAC">
              <w:rPr>
                <w:rStyle w:val="Hipercze"/>
                <w:noProof/>
              </w:rPr>
              <w:t>4. Modyfikacja i właściwości pól obliczalnych.</w:t>
            </w:r>
            <w:r w:rsidR="00783ECF">
              <w:rPr>
                <w:noProof/>
                <w:webHidden/>
              </w:rPr>
              <w:tab/>
            </w:r>
            <w:r w:rsidR="00783ECF">
              <w:rPr>
                <w:noProof/>
                <w:webHidden/>
              </w:rPr>
              <w:fldChar w:fldCharType="begin"/>
            </w:r>
            <w:r w:rsidR="00783ECF">
              <w:rPr>
                <w:noProof/>
                <w:webHidden/>
              </w:rPr>
              <w:instrText xml:space="preserve"> PAGEREF _Toc388186140 \h </w:instrText>
            </w:r>
            <w:r w:rsidR="00783ECF">
              <w:rPr>
                <w:noProof/>
                <w:webHidden/>
              </w:rPr>
            </w:r>
            <w:r w:rsidR="00783ECF">
              <w:rPr>
                <w:noProof/>
                <w:webHidden/>
              </w:rPr>
              <w:fldChar w:fldCharType="separate"/>
            </w:r>
            <w:r w:rsidR="005853DE">
              <w:rPr>
                <w:noProof/>
                <w:webHidden/>
              </w:rPr>
              <w:t>10</w:t>
            </w:r>
            <w:r w:rsidR="00783ECF">
              <w:rPr>
                <w:noProof/>
                <w:webHidden/>
              </w:rPr>
              <w:fldChar w:fldCharType="end"/>
            </w:r>
          </w:hyperlink>
        </w:p>
        <w:p w:rsidR="00783ECF" w:rsidRDefault="00BC007A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388186141" w:history="1">
            <w:r w:rsidR="00783ECF" w:rsidRPr="002C6EAC">
              <w:rPr>
                <w:rStyle w:val="Hipercze"/>
                <w:noProof/>
              </w:rPr>
              <w:t>5. Kolumny raportu</w:t>
            </w:r>
            <w:r w:rsidR="00783ECF">
              <w:rPr>
                <w:noProof/>
                <w:webHidden/>
              </w:rPr>
              <w:tab/>
            </w:r>
            <w:r w:rsidR="00783ECF">
              <w:rPr>
                <w:noProof/>
                <w:webHidden/>
              </w:rPr>
              <w:fldChar w:fldCharType="begin"/>
            </w:r>
            <w:r w:rsidR="00783ECF">
              <w:rPr>
                <w:noProof/>
                <w:webHidden/>
              </w:rPr>
              <w:instrText xml:space="preserve"> PAGEREF _Toc388186141 \h </w:instrText>
            </w:r>
            <w:r w:rsidR="00783ECF">
              <w:rPr>
                <w:noProof/>
                <w:webHidden/>
              </w:rPr>
            </w:r>
            <w:r w:rsidR="00783ECF">
              <w:rPr>
                <w:noProof/>
                <w:webHidden/>
              </w:rPr>
              <w:fldChar w:fldCharType="separate"/>
            </w:r>
            <w:r w:rsidR="005853DE">
              <w:rPr>
                <w:noProof/>
                <w:webHidden/>
              </w:rPr>
              <w:t>14</w:t>
            </w:r>
            <w:r w:rsidR="00783ECF">
              <w:rPr>
                <w:noProof/>
                <w:webHidden/>
              </w:rPr>
              <w:fldChar w:fldCharType="end"/>
            </w:r>
          </w:hyperlink>
        </w:p>
        <w:p w:rsidR="00783ECF" w:rsidRDefault="00783ECF">
          <w:r>
            <w:rPr>
              <w:b/>
              <w:bCs/>
            </w:rPr>
            <w:fldChar w:fldCharType="end"/>
          </w:r>
        </w:p>
      </w:sdtContent>
    </w:sdt>
    <w:p w:rsidR="00783ECF" w:rsidRDefault="00783ECF">
      <w:r>
        <w:br w:type="page"/>
      </w:r>
    </w:p>
    <w:p w:rsidR="000A2467" w:rsidRPr="000A2467" w:rsidRDefault="00CC779F" w:rsidP="00E5216B">
      <w:pPr>
        <w:pStyle w:val="Nagwek1"/>
        <w:jc w:val="both"/>
      </w:pPr>
      <w:bookmarkStart w:id="1" w:name="_Toc388186137"/>
      <w:r>
        <w:lastRenderedPageBreak/>
        <w:t xml:space="preserve">1. </w:t>
      </w:r>
      <w:r w:rsidR="009542E1">
        <w:t>Widoki projektu</w:t>
      </w:r>
      <w:bookmarkEnd w:id="1"/>
      <w:r w:rsidR="009542E1">
        <w:tab/>
      </w:r>
    </w:p>
    <w:p w:rsidR="00EB2791" w:rsidRDefault="009542E1" w:rsidP="00E5216B">
      <w:pPr>
        <w:pStyle w:val="Akapitzlist"/>
        <w:numPr>
          <w:ilvl w:val="0"/>
          <w:numId w:val="3"/>
        </w:numPr>
        <w:jc w:val="both"/>
      </w:pPr>
      <w:r>
        <w:t>Okno projektu raportu podzielone jest na następujące obszary:</w:t>
      </w:r>
    </w:p>
    <w:p w:rsidR="009542E1" w:rsidRDefault="009542E1" w:rsidP="00E5216B">
      <w:pPr>
        <w:pStyle w:val="Akapitzlist"/>
        <w:numPr>
          <w:ilvl w:val="0"/>
          <w:numId w:val="6"/>
        </w:numPr>
        <w:jc w:val="both"/>
      </w:pPr>
      <w:r>
        <w:t>Nagłówek</w:t>
      </w:r>
      <w:r w:rsidR="00E112A8">
        <w:t xml:space="preserve"> (elementy drukowane na początku pierwszej strony raportu)</w:t>
      </w:r>
    </w:p>
    <w:p w:rsidR="009542E1" w:rsidRDefault="009542E1" w:rsidP="00E5216B">
      <w:pPr>
        <w:pStyle w:val="Akapitzlist"/>
        <w:numPr>
          <w:ilvl w:val="0"/>
          <w:numId w:val="6"/>
        </w:numPr>
        <w:jc w:val="both"/>
      </w:pPr>
      <w:r>
        <w:t>Szczegóły</w:t>
      </w:r>
      <w:r w:rsidR="00E112A8">
        <w:t xml:space="preserve"> (część zasadnicza)</w:t>
      </w:r>
    </w:p>
    <w:p w:rsidR="009542E1" w:rsidRDefault="009542E1" w:rsidP="00E5216B">
      <w:pPr>
        <w:pStyle w:val="Akapitzlist"/>
        <w:numPr>
          <w:ilvl w:val="0"/>
          <w:numId w:val="6"/>
        </w:numPr>
        <w:jc w:val="both"/>
      </w:pPr>
      <w:r>
        <w:t>Podsumowanie</w:t>
      </w:r>
      <w:r w:rsidR="00E112A8">
        <w:t xml:space="preserve"> (elementy drukowane na końcu ostatniej strony raportu)</w:t>
      </w:r>
    </w:p>
    <w:p w:rsidR="009542E1" w:rsidRDefault="009542E1" w:rsidP="00E5216B">
      <w:pPr>
        <w:pStyle w:val="Akapitzlist"/>
        <w:numPr>
          <w:ilvl w:val="0"/>
          <w:numId w:val="6"/>
        </w:numPr>
        <w:jc w:val="both"/>
      </w:pPr>
      <w:r>
        <w:t>Stopka</w:t>
      </w:r>
      <w:r w:rsidR="00E112A8">
        <w:t xml:space="preserve"> (elementy drukowane na końcu każdej strony raportu)</w:t>
      </w:r>
    </w:p>
    <w:p w:rsidR="00F65404" w:rsidRDefault="00E112A8" w:rsidP="00E5216B">
      <w:pPr>
        <w:jc w:val="center"/>
      </w:pPr>
      <w:r w:rsidRPr="00E112A8">
        <w:rPr>
          <w:noProof/>
          <w:lang w:eastAsia="pl-PL"/>
        </w:rPr>
        <w:drawing>
          <wp:inline distT="0" distB="0" distL="0" distR="0">
            <wp:extent cx="5760720" cy="4701123"/>
            <wp:effectExtent l="19050" t="19050" r="0" b="4445"/>
            <wp:docPr id="16" name="Obraz 16" descr="C:\Users\KMI\Desktop\info_obrazki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MI\Desktop\info_obrazki\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01123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  <a:effectLst>
                      <a:softEdge rad="25400"/>
                    </a:effectLst>
                  </pic:spPr>
                </pic:pic>
              </a:graphicData>
            </a:graphic>
          </wp:inline>
        </w:drawing>
      </w:r>
    </w:p>
    <w:p w:rsidR="00E178A8" w:rsidRDefault="00E112A8" w:rsidP="00E5216B">
      <w:pPr>
        <w:pStyle w:val="Akapitzlist"/>
        <w:numPr>
          <w:ilvl w:val="0"/>
          <w:numId w:val="3"/>
        </w:numPr>
        <w:jc w:val="both"/>
      </w:pPr>
      <w:r>
        <w:t>Pozostałe obszary widoku projektu wywołać można z menu „</w:t>
      </w:r>
      <w:proofErr w:type="spellStart"/>
      <w:r>
        <w:t>View</w:t>
      </w:r>
      <w:proofErr w:type="spellEnd"/>
      <w:r>
        <w:t>”</w:t>
      </w:r>
    </w:p>
    <w:p w:rsidR="00E112A8" w:rsidRDefault="00E112A8" w:rsidP="00E5216B">
      <w:pPr>
        <w:pStyle w:val="Akapitzlist"/>
        <w:jc w:val="center"/>
      </w:pPr>
      <w:r w:rsidRPr="00E112A8">
        <w:rPr>
          <w:noProof/>
          <w:lang w:eastAsia="pl-PL"/>
        </w:rPr>
        <w:drawing>
          <wp:inline distT="0" distB="0" distL="0" distR="0">
            <wp:extent cx="4600575" cy="1476375"/>
            <wp:effectExtent l="19050" t="19050" r="9525" b="9525"/>
            <wp:docPr id="21" name="Obraz 21" descr="C:\Users\KMI\Desktop\info_obrazki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MI\Desktop\info_obrazki\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47637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83ECF" w:rsidRDefault="00783ECF">
      <w:r>
        <w:br w:type="page"/>
      </w:r>
    </w:p>
    <w:p w:rsidR="00DA429B" w:rsidRDefault="00DA429B" w:rsidP="00E5216B">
      <w:pPr>
        <w:pStyle w:val="Akapitzlist"/>
        <w:numPr>
          <w:ilvl w:val="0"/>
          <w:numId w:val="3"/>
        </w:numPr>
        <w:jc w:val="both"/>
      </w:pPr>
      <w:r>
        <w:lastRenderedPageBreak/>
        <w:t>„Control list” – lista wszystkich elementów użytych w raporcie.</w:t>
      </w:r>
    </w:p>
    <w:p w:rsidR="00E5216B" w:rsidRDefault="00E5216B" w:rsidP="00E5216B">
      <w:pPr>
        <w:pStyle w:val="Akapitzlist"/>
        <w:jc w:val="both"/>
      </w:pPr>
    </w:p>
    <w:p w:rsidR="00EB2791" w:rsidRDefault="00DA429B" w:rsidP="00783ECF">
      <w:pPr>
        <w:pStyle w:val="Akapitzlist"/>
        <w:ind w:left="0"/>
        <w:jc w:val="center"/>
      </w:pPr>
      <w:r w:rsidRPr="00DA429B">
        <w:rPr>
          <w:noProof/>
          <w:lang w:eastAsia="pl-PL"/>
        </w:rPr>
        <w:drawing>
          <wp:inline distT="0" distB="0" distL="0" distR="0">
            <wp:extent cx="5553075" cy="6534150"/>
            <wp:effectExtent l="19050" t="19050" r="9525" b="0"/>
            <wp:docPr id="22" name="Obraz 22" descr="C:\Users\KMI\Desktop\info_obrazki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MI\Desktop\info_obrazki\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653415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83ECF" w:rsidRDefault="00783ECF">
      <w:r>
        <w:br w:type="page"/>
      </w:r>
    </w:p>
    <w:p w:rsidR="00F65404" w:rsidRDefault="00DA429B" w:rsidP="00E5216B">
      <w:pPr>
        <w:pStyle w:val="Akapitzlist"/>
        <w:numPr>
          <w:ilvl w:val="0"/>
          <w:numId w:val="3"/>
        </w:numPr>
        <w:jc w:val="both"/>
      </w:pPr>
      <w:r>
        <w:lastRenderedPageBreak/>
        <w:t>„</w:t>
      </w:r>
      <w:proofErr w:type="spellStart"/>
      <w:r>
        <w:t>Column</w:t>
      </w:r>
      <w:proofErr w:type="spellEnd"/>
      <w:r>
        <w:t xml:space="preserve"> </w:t>
      </w:r>
      <w:proofErr w:type="spellStart"/>
      <w:r>
        <w:t>specifications</w:t>
      </w:r>
      <w:proofErr w:type="spellEnd"/>
      <w:r>
        <w:t>” – lista możliwych do użycia kolumn</w:t>
      </w:r>
    </w:p>
    <w:p w:rsidR="00783ECF" w:rsidRDefault="00783ECF" w:rsidP="00783ECF">
      <w:pPr>
        <w:pStyle w:val="Akapitzlist"/>
        <w:ind w:left="786"/>
        <w:jc w:val="both"/>
      </w:pPr>
    </w:p>
    <w:p w:rsidR="00DA429B" w:rsidRDefault="00DA429B" w:rsidP="00783ECF">
      <w:pPr>
        <w:pStyle w:val="Akapitzlist"/>
        <w:ind w:left="0"/>
        <w:jc w:val="center"/>
      </w:pPr>
      <w:r w:rsidRPr="00DA429B">
        <w:rPr>
          <w:noProof/>
          <w:lang w:eastAsia="pl-PL"/>
        </w:rPr>
        <w:drawing>
          <wp:inline distT="0" distB="0" distL="0" distR="0">
            <wp:extent cx="5760720" cy="5813090"/>
            <wp:effectExtent l="19050" t="19050" r="0" b="0"/>
            <wp:docPr id="23" name="Obraz 23" descr="C:\Users\KMI\Desktop\info_obrazki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MI\Desktop\info_obrazki\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1309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83ECF" w:rsidRDefault="00783ECF">
      <w:r>
        <w:br w:type="page"/>
      </w:r>
    </w:p>
    <w:p w:rsidR="003000A0" w:rsidRDefault="003000A0" w:rsidP="00E5216B">
      <w:pPr>
        <w:pStyle w:val="Akapitzlist"/>
        <w:numPr>
          <w:ilvl w:val="0"/>
          <w:numId w:val="3"/>
        </w:numPr>
        <w:jc w:val="both"/>
      </w:pPr>
      <w:r>
        <w:lastRenderedPageBreak/>
        <w:t>„</w:t>
      </w:r>
      <w:proofErr w:type="spellStart"/>
      <w:r>
        <w:t>P</w:t>
      </w:r>
      <w:r w:rsidRPr="003000A0">
        <w:t>roperties</w:t>
      </w:r>
      <w:proofErr w:type="spellEnd"/>
      <w:r>
        <w:t>” – właściwości zaznaczonego pola lub obszaru raportu.</w:t>
      </w:r>
    </w:p>
    <w:p w:rsidR="00783ECF" w:rsidRDefault="003000A0" w:rsidP="00783ECF">
      <w:pPr>
        <w:jc w:val="right"/>
      </w:pPr>
      <w:r w:rsidRPr="003000A0">
        <w:rPr>
          <w:noProof/>
          <w:lang w:eastAsia="pl-PL"/>
        </w:rPr>
        <w:drawing>
          <wp:inline distT="0" distB="0" distL="0" distR="0">
            <wp:extent cx="5760720" cy="2719318"/>
            <wp:effectExtent l="19050" t="19050" r="0" b="5080"/>
            <wp:docPr id="24" name="Obraz 24" descr="C:\Users\KMI\Desktop\info_obrazki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MI\Desktop\info_obrazki\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19318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83ECF" w:rsidRDefault="00783ECF">
      <w:r>
        <w:br w:type="page"/>
      </w:r>
    </w:p>
    <w:p w:rsidR="00F65404" w:rsidRDefault="003000A0" w:rsidP="00783ECF">
      <w:pPr>
        <w:jc w:val="right"/>
      </w:pPr>
      <w:r>
        <w:lastRenderedPageBreak/>
        <w:t xml:space="preserve"> </w:t>
      </w:r>
    </w:p>
    <w:p w:rsidR="00381F75" w:rsidRDefault="00381F75" w:rsidP="00E5216B">
      <w:pPr>
        <w:pStyle w:val="Nagwek1"/>
        <w:jc w:val="both"/>
      </w:pPr>
      <w:bookmarkStart w:id="2" w:name="_Toc388186138"/>
      <w:r>
        <w:t>2.  Obiekty</w:t>
      </w:r>
      <w:bookmarkEnd w:id="2"/>
    </w:p>
    <w:p w:rsidR="005F459A" w:rsidRDefault="005F459A" w:rsidP="00E5216B">
      <w:pPr>
        <w:jc w:val="both"/>
      </w:pPr>
    </w:p>
    <w:p w:rsidR="00C64053" w:rsidRDefault="00381F75" w:rsidP="00E5216B">
      <w:pPr>
        <w:jc w:val="both"/>
      </w:pPr>
      <w:r>
        <w:t xml:space="preserve">Nowe obiekty raportu dodać można z menu „Insert”. Do podstawowych obiektów należą: </w:t>
      </w:r>
    </w:p>
    <w:p w:rsidR="00C64053" w:rsidRDefault="00C64053" w:rsidP="00E5216B">
      <w:pPr>
        <w:pStyle w:val="Akapitzlist"/>
        <w:numPr>
          <w:ilvl w:val="0"/>
          <w:numId w:val="6"/>
        </w:numPr>
        <w:jc w:val="both"/>
      </w:pPr>
      <w:r>
        <w:t>Pola tekstowe</w:t>
      </w:r>
    </w:p>
    <w:p w:rsidR="00C64053" w:rsidRDefault="00C64053" w:rsidP="00E5216B">
      <w:pPr>
        <w:pStyle w:val="Akapitzlist"/>
        <w:numPr>
          <w:ilvl w:val="0"/>
          <w:numId w:val="6"/>
        </w:numPr>
        <w:jc w:val="both"/>
      </w:pPr>
      <w:r>
        <w:t>Pola obliczalne</w:t>
      </w:r>
    </w:p>
    <w:p w:rsidR="00C64053" w:rsidRDefault="00C64053" w:rsidP="00E5216B">
      <w:pPr>
        <w:pStyle w:val="Akapitzlist"/>
        <w:numPr>
          <w:ilvl w:val="0"/>
          <w:numId w:val="6"/>
        </w:numPr>
        <w:jc w:val="both"/>
      </w:pPr>
      <w:r>
        <w:t>Obiekty graficzne</w:t>
      </w:r>
    </w:p>
    <w:p w:rsidR="005F459A" w:rsidRDefault="00C64053" w:rsidP="00E5216B">
      <w:pPr>
        <w:pStyle w:val="Akapitzlist"/>
        <w:ind w:left="1080"/>
        <w:jc w:val="both"/>
      </w:pPr>
      <w:r w:rsidRPr="00C64053">
        <w:rPr>
          <w:noProof/>
          <w:lang w:eastAsia="pl-PL"/>
        </w:rPr>
        <w:drawing>
          <wp:inline distT="0" distB="0" distL="0" distR="0">
            <wp:extent cx="4391025" cy="1695450"/>
            <wp:effectExtent l="19050" t="19050" r="9525" b="0"/>
            <wp:docPr id="25" name="Obraz 25" descr="C:\Users\KMI\Desktop\info_obrazki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MI\Desktop\info_obrazki\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169545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83ECF" w:rsidRDefault="00783ECF">
      <w:r>
        <w:br w:type="page"/>
      </w:r>
    </w:p>
    <w:p w:rsidR="005F459A" w:rsidRDefault="00C64053" w:rsidP="00E5216B">
      <w:pPr>
        <w:pStyle w:val="Nagwek1"/>
        <w:jc w:val="both"/>
      </w:pPr>
      <w:bookmarkStart w:id="3" w:name="_Toc388186139"/>
      <w:r>
        <w:lastRenderedPageBreak/>
        <w:t>3. Modyfikacja i właściwości pól tekstowych</w:t>
      </w:r>
      <w:bookmarkEnd w:id="3"/>
    </w:p>
    <w:p w:rsidR="00783ECF" w:rsidRPr="00783ECF" w:rsidRDefault="00783ECF" w:rsidP="00783ECF"/>
    <w:p w:rsidR="00C64053" w:rsidRDefault="00C64053" w:rsidP="00E5216B">
      <w:pPr>
        <w:pStyle w:val="Akapitzlist"/>
        <w:numPr>
          <w:ilvl w:val="0"/>
          <w:numId w:val="9"/>
        </w:numPr>
        <w:jc w:val="both"/>
      </w:pPr>
      <w:r>
        <w:t>Po dodaniu pola tekstowego, lub wybraniu takiego pola umieszczonego w raporcie można modyfikować jego właściwości.</w:t>
      </w:r>
    </w:p>
    <w:p w:rsidR="00C64053" w:rsidRDefault="00C64053" w:rsidP="00E5216B">
      <w:pPr>
        <w:jc w:val="center"/>
      </w:pPr>
      <w:r w:rsidRPr="00C64053">
        <w:rPr>
          <w:noProof/>
          <w:lang w:eastAsia="pl-PL"/>
        </w:rPr>
        <w:drawing>
          <wp:inline distT="0" distB="0" distL="0" distR="0">
            <wp:extent cx="5760720" cy="1582380"/>
            <wp:effectExtent l="19050" t="19050" r="0" b="0"/>
            <wp:docPr id="26" name="Obraz 26" descr="C:\Users\KMI\Desktop\info_obrazki\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MI\Desktop\info_obrazki\6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8238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C64053" w:rsidRDefault="00C64053" w:rsidP="00E5216B">
      <w:pPr>
        <w:pStyle w:val="Akapitzlist"/>
        <w:numPr>
          <w:ilvl w:val="0"/>
          <w:numId w:val="9"/>
        </w:numPr>
        <w:jc w:val="both"/>
      </w:pPr>
      <w:r>
        <w:t>„General” – właściwości podstawowe pola, w których określona jest jego nazwa, widoczność, obramowanie, wyrównanie i tekst.</w:t>
      </w:r>
    </w:p>
    <w:p w:rsidR="00E5216B" w:rsidRDefault="00E5216B" w:rsidP="00E5216B">
      <w:pPr>
        <w:pStyle w:val="Akapitzlist"/>
        <w:ind w:left="1068"/>
        <w:jc w:val="both"/>
      </w:pPr>
    </w:p>
    <w:p w:rsidR="00FD1E18" w:rsidRDefault="00FD1E18" w:rsidP="00783ECF">
      <w:pPr>
        <w:pStyle w:val="Akapitzlist"/>
        <w:ind w:left="0"/>
        <w:jc w:val="center"/>
      </w:pPr>
      <w:r w:rsidRPr="00FD1E18">
        <w:rPr>
          <w:noProof/>
          <w:lang w:eastAsia="pl-PL"/>
        </w:rPr>
        <w:drawing>
          <wp:inline distT="0" distB="0" distL="0" distR="0">
            <wp:extent cx="5705475" cy="3362325"/>
            <wp:effectExtent l="19050" t="19050" r="9525" b="9525"/>
            <wp:docPr id="27" name="Obraz 27" descr="C:\Users\KMI\Desktop\info_obrazki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MI\Desktop\info_obrazki\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36232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83ECF" w:rsidRDefault="00783ECF">
      <w:r>
        <w:br w:type="page"/>
      </w:r>
    </w:p>
    <w:p w:rsidR="00FD1E18" w:rsidRDefault="00FD1E18" w:rsidP="00E5216B">
      <w:pPr>
        <w:pStyle w:val="Akapitzlist"/>
        <w:numPr>
          <w:ilvl w:val="0"/>
          <w:numId w:val="9"/>
        </w:numPr>
        <w:jc w:val="both"/>
      </w:pPr>
      <w:r>
        <w:lastRenderedPageBreak/>
        <w:t>„</w:t>
      </w:r>
      <w:proofErr w:type="spellStart"/>
      <w:r>
        <w:t>Position</w:t>
      </w:r>
      <w:proofErr w:type="spellEnd"/>
      <w:r>
        <w:t xml:space="preserve">” – właściwości ułożenia pola w raporcie i jego wielkość. </w:t>
      </w:r>
    </w:p>
    <w:p w:rsidR="00FD1E18" w:rsidRDefault="00FD1E18" w:rsidP="00E5216B">
      <w:pPr>
        <w:pStyle w:val="Akapitzlist"/>
        <w:ind w:left="1068"/>
        <w:jc w:val="both"/>
      </w:pPr>
      <w:r>
        <w:t xml:space="preserve">W przypadku modyfikowania wielkości i położenia pola poprzez </w:t>
      </w:r>
      <w:r w:rsidR="00FE6310">
        <w:t>kursor myszki w widoku projektu wartości właściwości „</w:t>
      </w:r>
      <w:proofErr w:type="spellStart"/>
      <w:r w:rsidR="00FE6310">
        <w:t>Position</w:t>
      </w:r>
      <w:proofErr w:type="spellEnd"/>
      <w:r w:rsidR="00FE6310">
        <w:t>” zostają zmienione automatycznie.</w:t>
      </w:r>
    </w:p>
    <w:p w:rsidR="00346406" w:rsidRDefault="00346406" w:rsidP="00E5216B">
      <w:pPr>
        <w:pStyle w:val="Akapitzlist"/>
        <w:ind w:left="1068"/>
        <w:jc w:val="both"/>
      </w:pPr>
    </w:p>
    <w:p w:rsidR="00FD1E18" w:rsidRDefault="00FD1E18" w:rsidP="00346406">
      <w:pPr>
        <w:pStyle w:val="Akapitzlist"/>
        <w:ind w:left="0"/>
        <w:jc w:val="center"/>
      </w:pPr>
      <w:r w:rsidRPr="00FD1E18">
        <w:rPr>
          <w:noProof/>
          <w:lang w:eastAsia="pl-PL"/>
        </w:rPr>
        <w:drawing>
          <wp:inline distT="0" distB="0" distL="0" distR="0">
            <wp:extent cx="4772025" cy="3067161"/>
            <wp:effectExtent l="19050" t="19050" r="0" b="0"/>
            <wp:docPr id="28" name="Obraz 28" descr="C:\Users\KMI\Desktop\info_obrazki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MI\Desktop\info_obrazki\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292" cy="3077616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D1E18" w:rsidRDefault="00FD1E18" w:rsidP="00E5216B">
      <w:pPr>
        <w:pStyle w:val="Akapitzlist"/>
        <w:numPr>
          <w:ilvl w:val="0"/>
          <w:numId w:val="9"/>
        </w:numPr>
        <w:jc w:val="both"/>
      </w:pPr>
      <w:r>
        <w:t xml:space="preserve">„Font” – właściwości dotyczące czcionki i tła tekstu umieszonego w polu. </w:t>
      </w:r>
    </w:p>
    <w:p w:rsidR="00FD1E18" w:rsidRDefault="00FD1E18" w:rsidP="00E5216B">
      <w:pPr>
        <w:pStyle w:val="Akapitzlist"/>
        <w:ind w:left="1068"/>
        <w:jc w:val="both"/>
      </w:pPr>
      <w:r>
        <w:t xml:space="preserve">Uwaga: w przypadku modyfikowania raportów systemu </w:t>
      </w:r>
      <w:proofErr w:type="spellStart"/>
      <w:r>
        <w:t>Simple.ERP</w:t>
      </w:r>
      <w:proofErr w:type="spellEnd"/>
      <w:r>
        <w:t xml:space="preserve"> zalecane jest korzystanie wyłącznie z czcionki @Arial </w:t>
      </w:r>
      <w:proofErr w:type="spellStart"/>
      <w:r>
        <w:t>Unicode</w:t>
      </w:r>
      <w:proofErr w:type="spellEnd"/>
      <w:r>
        <w:t xml:space="preserve"> MS</w:t>
      </w:r>
    </w:p>
    <w:p w:rsidR="00FD1E18" w:rsidRDefault="00FD1E18" w:rsidP="00346406">
      <w:pPr>
        <w:pStyle w:val="Akapitzlist"/>
        <w:ind w:left="709"/>
        <w:jc w:val="both"/>
      </w:pPr>
      <w:r w:rsidRPr="00FD1E18">
        <w:rPr>
          <w:noProof/>
          <w:lang w:eastAsia="pl-PL"/>
        </w:rPr>
        <w:drawing>
          <wp:inline distT="0" distB="0" distL="0" distR="0">
            <wp:extent cx="4815335" cy="4276725"/>
            <wp:effectExtent l="19050" t="19050" r="4445" b="0"/>
            <wp:docPr id="29" name="Obraz 29" descr="C:\Users\KMI\Desktop\info_obrazki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MI\Desktop\info_obrazki\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814" cy="4278927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E6310" w:rsidRDefault="00FE6310" w:rsidP="00E5216B">
      <w:pPr>
        <w:pStyle w:val="Akapitzlist"/>
        <w:numPr>
          <w:ilvl w:val="0"/>
          <w:numId w:val="9"/>
        </w:numPr>
        <w:jc w:val="both"/>
      </w:pPr>
      <w:r>
        <w:lastRenderedPageBreak/>
        <w:t xml:space="preserve">Wielkość i położenie pól można wyrównywać korzystając z przycisku wyrównywania umieszczonego na pasku zadań. </w:t>
      </w:r>
    </w:p>
    <w:p w:rsidR="00FE6310" w:rsidRDefault="00FE6310" w:rsidP="00E5216B">
      <w:pPr>
        <w:pStyle w:val="Akapitzlist"/>
        <w:ind w:left="1068"/>
        <w:jc w:val="both"/>
      </w:pPr>
      <w:r>
        <w:t>Aby uzyskać jednakowe położenie kilku pól (np. wyrównanie do krawędzi) lub  jednakowy wymiar należy zaznaczyć wszystkie pola, których zmiana ma dotyczyć. Pamiętać należy, że równanie odbywa się w stosunku do pola zaznaczonego jako pierwsze.</w:t>
      </w:r>
    </w:p>
    <w:p w:rsidR="00FE6310" w:rsidRDefault="00FE6310" w:rsidP="00E5216B">
      <w:pPr>
        <w:pStyle w:val="Akapitzlist"/>
        <w:ind w:left="1068"/>
        <w:jc w:val="center"/>
      </w:pPr>
      <w:r w:rsidRPr="00FE6310">
        <w:rPr>
          <w:noProof/>
          <w:lang w:eastAsia="pl-PL"/>
        </w:rPr>
        <w:drawing>
          <wp:inline distT="0" distB="0" distL="0" distR="0">
            <wp:extent cx="819150" cy="523875"/>
            <wp:effectExtent l="19050" t="19050" r="0" b="9525"/>
            <wp:docPr id="30" name="Obraz 30" descr="C:\Users\KMI\Desktop\info_obrazki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MI\Desktop\info_obrazki\1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52387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E6310" w:rsidRDefault="00FE6310" w:rsidP="00E5216B">
      <w:pPr>
        <w:pStyle w:val="Akapitzlist"/>
        <w:numPr>
          <w:ilvl w:val="0"/>
          <w:numId w:val="9"/>
        </w:numPr>
        <w:jc w:val="both"/>
      </w:pPr>
      <w:r>
        <w:t>Również inne właściwości pól tekstowych mogą być modyfikowane przy pomocy przycisków paska zadań.</w:t>
      </w:r>
    </w:p>
    <w:p w:rsidR="00FE6310" w:rsidRDefault="00FE6310" w:rsidP="00E5216B">
      <w:pPr>
        <w:pStyle w:val="Akapitzlist"/>
        <w:ind w:left="1068"/>
        <w:jc w:val="center"/>
      </w:pPr>
      <w:r w:rsidRPr="00FE6310">
        <w:rPr>
          <w:noProof/>
          <w:lang w:eastAsia="pl-PL"/>
        </w:rPr>
        <w:drawing>
          <wp:inline distT="0" distB="0" distL="0" distR="0">
            <wp:extent cx="4362450" cy="781050"/>
            <wp:effectExtent l="19050" t="19050" r="0" b="0"/>
            <wp:docPr id="31" name="Obraz 31" descr="C:\Users\KMI\Desktop\info_obrazki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MI\Desktop\info_obrazki\1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78105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E6310" w:rsidRDefault="00FE6310" w:rsidP="00E5216B">
      <w:pPr>
        <w:pStyle w:val="Akapitzlist"/>
        <w:numPr>
          <w:ilvl w:val="0"/>
          <w:numId w:val="9"/>
        </w:numPr>
        <w:jc w:val="both"/>
      </w:pPr>
      <w:r>
        <w:t xml:space="preserve">W przypadku niektórych właściwości możliwe jest ich warunkowe stosowanie. </w:t>
      </w:r>
      <w:r w:rsidR="00F129A7">
        <w:t>Cecha, dla których jest to możliwe oznaczona jest przyciskiem wywołującym wyrażenie warunkujące. Poniżej umieszczony jest przykład warunkujący widoczność pola w zależności od wartości zwracanej przez kolumnę ‘</w:t>
      </w:r>
      <w:proofErr w:type="spellStart"/>
      <w:r w:rsidR="00F129A7">
        <w:t>czy_oswiadczenie</w:t>
      </w:r>
      <w:proofErr w:type="spellEnd"/>
      <w:r w:rsidR="00F129A7">
        <w:t>’.</w:t>
      </w:r>
    </w:p>
    <w:p w:rsidR="00F129A7" w:rsidRDefault="00F129A7" w:rsidP="00346406">
      <w:pPr>
        <w:pStyle w:val="Akapitzlist"/>
        <w:ind w:left="567"/>
        <w:jc w:val="center"/>
      </w:pPr>
      <w:r w:rsidRPr="00F129A7">
        <w:rPr>
          <w:noProof/>
          <w:lang w:eastAsia="pl-PL"/>
        </w:rPr>
        <w:drawing>
          <wp:inline distT="0" distB="0" distL="0" distR="0">
            <wp:extent cx="4862096" cy="2466975"/>
            <wp:effectExtent l="19050" t="19050" r="0" b="0"/>
            <wp:docPr id="32" name="Obraz 32" descr="C:\Users\KMI\Desktop\info_obrazki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MI\Desktop\info_obrazki\1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488" cy="2473263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129A7" w:rsidRDefault="00F129A7" w:rsidP="00E5216B">
      <w:pPr>
        <w:pStyle w:val="Akapitzlist"/>
        <w:ind w:left="1068"/>
        <w:jc w:val="both"/>
      </w:pPr>
    </w:p>
    <w:p w:rsidR="00F129A7" w:rsidRDefault="00F129A7" w:rsidP="00E5216B">
      <w:pPr>
        <w:pStyle w:val="Akapitzlist"/>
        <w:ind w:left="1068"/>
        <w:jc w:val="center"/>
      </w:pPr>
      <w:r w:rsidRPr="00F129A7">
        <w:rPr>
          <w:noProof/>
          <w:lang w:eastAsia="pl-PL"/>
        </w:rPr>
        <w:drawing>
          <wp:inline distT="0" distB="0" distL="0" distR="0">
            <wp:extent cx="4124325" cy="2562314"/>
            <wp:effectExtent l="19050" t="19050" r="0" b="9525"/>
            <wp:docPr id="33" name="Obraz 33" descr="C:\Users\KMI\Desktop\info_obrazki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MI\Desktop\info_obrazki\13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954" cy="2563326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B5311A" w:rsidRDefault="00B5311A" w:rsidP="00E5216B">
      <w:pPr>
        <w:pStyle w:val="Nagwek1"/>
        <w:jc w:val="both"/>
      </w:pPr>
      <w:bookmarkStart w:id="4" w:name="_Toc388186140"/>
      <w:r>
        <w:lastRenderedPageBreak/>
        <w:t>4. Modyfikacja i właściwości pól obliczalnych.</w:t>
      </w:r>
      <w:bookmarkEnd w:id="4"/>
    </w:p>
    <w:p w:rsidR="00AA2B90" w:rsidRDefault="00AA2B90" w:rsidP="00E5216B">
      <w:pPr>
        <w:pStyle w:val="Akapitzlist"/>
        <w:numPr>
          <w:ilvl w:val="0"/>
          <w:numId w:val="10"/>
        </w:numPr>
        <w:jc w:val="both"/>
      </w:pPr>
      <w:r>
        <w:t>Po dodaniu pola obliczalnego („</w:t>
      </w:r>
      <w:proofErr w:type="spellStart"/>
      <w:r>
        <w:t>C</w:t>
      </w:r>
      <w:r w:rsidRPr="00AA2B90">
        <w:t>omputed</w:t>
      </w:r>
      <w:proofErr w:type="spellEnd"/>
      <w:r w:rsidRPr="00AA2B90">
        <w:t xml:space="preserve"> field</w:t>
      </w:r>
      <w:r>
        <w:t>”), lub wybraniu takiego pola umieszczonego w raporcie można modyfikować jego właściwości.</w:t>
      </w:r>
    </w:p>
    <w:p w:rsidR="00AA2B90" w:rsidRDefault="00AA2B90" w:rsidP="00346406">
      <w:pPr>
        <w:pStyle w:val="Akapitzlist"/>
        <w:ind w:left="0"/>
        <w:jc w:val="both"/>
      </w:pPr>
      <w:r w:rsidRPr="00AA2B90">
        <w:rPr>
          <w:noProof/>
          <w:lang w:eastAsia="pl-PL"/>
        </w:rPr>
        <w:drawing>
          <wp:inline distT="0" distB="0" distL="0" distR="0">
            <wp:extent cx="5760720" cy="2010051"/>
            <wp:effectExtent l="19050" t="19050" r="0" b="9525"/>
            <wp:docPr id="34" name="Obraz 34" descr="C:\Users\KMI\Desktop\info_obrazki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MI\Desktop\info_obrazki\1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10051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 w:rsidP="00346406">
      <w:pPr>
        <w:pStyle w:val="Akapitzlist"/>
        <w:ind w:left="0"/>
        <w:jc w:val="both"/>
      </w:pPr>
    </w:p>
    <w:p w:rsidR="00AA2B90" w:rsidRDefault="00E866CF" w:rsidP="00E5216B">
      <w:pPr>
        <w:pStyle w:val="Akapitzlist"/>
        <w:numPr>
          <w:ilvl w:val="0"/>
          <w:numId w:val="10"/>
        </w:numPr>
        <w:jc w:val="both"/>
      </w:pPr>
      <w:r>
        <w:t>Zasada postępowania w przypadku modyfikacji właściwości pola jest analogiczna jak w przypadku pól tekstowych, z tą różnicą, że zamiast tekstu należy podać wyrażenie obliczalne („</w:t>
      </w:r>
      <w:proofErr w:type="spellStart"/>
      <w:r w:rsidRPr="00E866CF">
        <w:t>compute</w:t>
      </w:r>
      <w:proofErr w:type="spellEnd"/>
      <w:r w:rsidRPr="00E866CF">
        <w:t xml:space="preserve"> </w:t>
      </w:r>
      <w:proofErr w:type="spellStart"/>
      <w:r w:rsidRPr="00E866CF">
        <w:t>expression</w:t>
      </w:r>
      <w:proofErr w:type="spellEnd"/>
      <w:r>
        <w:t xml:space="preserve">”). W celu modyfikacji wyrażenia należy wcisnąć przycisk z prawej strony. </w:t>
      </w:r>
    </w:p>
    <w:p w:rsidR="00616E33" w:rsidRDefault="00616E33" w:rsidP="00346406">
      <w:pPr>
        <w:pStyle w:val="Akapitzlist"/>
        <w:ind w:left="0"/>
        <w:jc w:val="center"/>
      </w:pPr>
      <w:r w:rsidRPr="00616E33">
        <w:rPr>
          <w:noProof/>
          <w:lang w:eastAsia="pl-PL"/>
        </w:rPr>
        <w:drawing>
          <wp:inline distT="0" distB="0" distL="0" distR="0">
            <wp:extent cx="5676900" cy="3771900"/>
            <wp:effectExtent l="19050" t="19050" r="0" b="0"/>
            <wp:docPr id="35" name="Obraz 35" descr="C:\Users\KMI\Desktop\info_obrazki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MI\Desktop\info_obrazki\15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77190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>
      <w:r>
        <w:br w:type="page"/>
      </w:r>
    </w:p>
    <w:p w:rsidR="00616E33" w:rsidRDefault="00616E33" w:rsidP="00E5216B">
      <w:pPr>
        <w:pStyle w:val="Akapitzlist"/>
        <w:numPr>
          <w:ilvl w:val="0"/>
          <w:numId w:val="10"/>
        </w:numPr>
        <w:jc w:val="both"/>
      </w:pPr>
      <w:r>
        <w:lastRenderedPageBreak/>
        <w:t>Okno modyfikacji wyrażenia zawiera następujące obszary:</w:t>
      </w:r>
    </w:p>
    <w:p w:rsidR="00616E33" w:rsidRDefault="00616E33" w:rsidP="00E5216B">
      <w:pPr>
        <w:pStyle w:val="Akapitzlist"/>
        <w:numPr>
          <w:ilvl w:val="1"/>
          <w:numId w:val="10"/>
        </w:numPr>
        <w:jc w:val="both"/>
      </w:pPr>
      <w:r>
        <w:t>„</w:t>
      </w:r>
      <w:proofErr w:type="spellStart"/>
      <w:r>
        <w:t>Functions</w:t>
      </w:r>
      <w:proofErr w:type="spellEnd"/>
      <w:r>
        <w:t xml:space="preserve">” – zawierające listę dostępnych w programie funkcji, które dodaje się do wyrażenia przez kliknięcie. </w:t>
      </w:r>
    </w:p>
    <w:p w:rsidR="00616E33" w:rsidRDefault="00616E33" w:rsidP="00783ECF">
      <w:pPr>
        <w:pStyle w:val="Akapitzlist"/>
        <w:ind w:left="1788"/>
        <w:jc w:val="center"/>
      </w:pPr>
      <w:r w:rsidRPr="00616E33">
        <w:rPr>
          <w:noProof/>
          <w:lang w:eastAsia="pl-PL"/>
        </w:rPr>
        <w:drawing>
          <wp:inline distT="0" distB="0" distL="0" distR="0">
            <wp:extent cx="3857625" cy="2400139"/>
            <wp:effectExtent l="19050" t="19050" r="0" b="635"/>
            <wp:docPr id="36" name="Obraz 36" descr="C:\Users\KMI\Desktop\info_obrazki\16 - Kopi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MI\Desktop\info_obrazki\16 - Kopia (2)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270" cy="2406762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16E33" w:rsidRDefault="00616E33" w:rsidP="00E5216B">
      <w:pPr>
        <w:pStyle w:val="Akapitzlist"/>
        <w:numPr>
          <w:ilvl w:val="1"/>
          <w:numId w:val="10"/>
        </w:numPr>
        <w:jc w:val="both"/>
      </w:pPr>
      <w:r>
        <w:t>„</w:t>
      </w:r>
      <w:proofErr w:type="spellStart"/>
      <w:r>
        <w:t>Columns</w:t>
      </w:r>
      <w:proofErr w:type="spellEnd"/>
      <w:r>
        <w:t>” –</w:t>
      </w:r>
      <w:r w:rsidR="00F40C87">
        <w:t xml:space="preserve"> zawierające</w:t>
      </w:r>
      <w:r>
        <w:t xml:space="preserve"> listę </w:t>
      </w:r>
      <w:r w:rsidR="00F40C87">
        <w:t>dostępnych kolumn i pól wyliczalnych</w:t>
      </w:r>
    </w:p>
    <w:p w:rsidR="00F40C87" w:rsidRDefault="00F40C87" w:rsidP="00346406">
      <w:pPr>
        <w:pStyle w:val="Akapitzlist"/>
        <w:ind w:left="1788"/>
        <w:jc w:val="center"/>
      </w:pPr>
      <w:r w:rsidRPr="00F40C87">
        <w:rPr>
          <w:noProof/>
          <w:lang w:eastAsia="pl-PL"/>
        </w:rPr>
        <w:drawing>
          <wp:inline distT="0" distB="0" distL="0" distR="0">
            <wp:extent cx="3943350" cy="2453474"/>
            <wp:effectExtent l="19050" t="19050" r="0" b="4445"/>
            <wp:docPr id="37" name="Obraz 37" descr="C:\Users\KMI\Desktop\info_obrazki\16 - Kopia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MI\Desktop\info_obrazki\16 - Kopia (3)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170" cy="2461451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40C87" w:rsidRDefault="00F40C87" w:rsidP="00E5216B">
      <w:pPr>
        <w:pStyle w:val="Akapitzlist"/>
        <w:numPr>
          <w:ilvl w:val="1"/>
          <w:numId w:val="10"/>
        </w:numPr>
        <w:jc w:val="both"/>
      </w:pPr>
      <w:r>
        <w:t>„</w:t>
      </w:r>
      <w:proofErr w:type="spellStart"/>
      <w:r>
        <w:t>Expression</w:t>
      </w:r>
      <w:proofErr w:type="spellEnd"/>
      <w:r>
        <w:t>” – zawierające samo wyrażenie</w:t>
      </w:r>
    </w:p>
    <w:p w:rsidR="00F40C87" w:rsidRDefault="00F40C87" w:rsidP="00783ECF">
      <w:pPr>
        <w:pStyle w:val="Akapitzlist"/>
        <w:ind w:left="1788"/>
        <w:jc w:val="center"/>
      </w:pPr>
      <w:r w:rsidRPr="00F40C87">
        <w:rPr>
          <w:noProof/>
          <w:lang w:eastAsia="pl-PL"/>
        </w:rPr>
        <w:drawing>
          <wp:inline distT="0" distB="0" distL="0" distR="0">
            <wp:extent cx="3895725" cy="2423844"/>
            <wp:effectExtent l="19050" t="19050" r="0" b="0"/>
            <wp:docPr id="38" name="Obraz 38" descr="C:\Users\KMI\Desktop\info_obrazki\16 - Kop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MI\Desktop\info_obrazki\16 - Kopia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8935" cy="2432063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>
      <w:r>
        <w:br w:type="page"/>
      </w:r>
    </w:p>
    <w:p w:rsidR="00F40C87" w:rsidRDefault="00F40C87" w:rsidP="00E5216B">
      <w:pPr>
        <w:pStyle w:val="Akapitzlist"/>
        <w:numPr>
          <w:ilvl w:val="0"/>
          <w:numId w:val="10"/>
        </w:numPr>
        <w:jc w:val="both"/>
      </w:pPr>
      <w:r>
        <w:lastRenderedPageBreak/>
        <w:t>Poprawność wyrażenia można sprawdzić przez przycisk „</w:t>
      </w:r>
      <w:proofErr w:type="spellStart"/>
      <w:r>
        <w:t>Verify</w:t>
      </w:r>
      <w:proofErr w:type="spellEnd"/>
      <w:r>
        <w:t>”</w:t>
      </w:r>
    </w:p>
    <w:p w:rsidR="00F40C87" w:rsidRDefault="00F40C87" w:rsidP="00783ECF">
      <w:pPr>
        <w:pStyle w:val="Akapitzlist"/>
        <w:ind w:left="1068"/>
        <w:jc w:val="center"/>
      </w:pPr>
      <w:r w:rsidRPr="00F40C87">
        <w:rPr>
          <w:noProof/>
          <w:lang w:eastAsia="pl-PL"/>
        </w:rPr>
        <w:drawing>
          <wp:inline distT="0" distB="0" distL="0" distR="0">
            <wp:extent cx="5067300" cy="3152775"/>
            <wp:effectExtent l="19050" t="19050" r="0" b="9525"/>
            <wp:docPr id="39" name="Obraz 39" descr="C:\Users\KMI\Desktop\info_obrazki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MI\Desktop\info_obrazki\16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15277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 w:rsidP="00783ECF">
      <w:pPr>
        <w:pStyle w:val="Akapitzlist"/>
        <w:ind w:left="1068"/>
        <w:jc w:val="center"/>
      </w:pPr>
    </w:p>
    <w:p w:rsidR="00F40C87" w:rsidRDefault="00F40C87" w:rsidP="00783ECF">
      <w:pPr>
        <w:pStyle w:val="Akapitzlist"/>
        <w:ind w:left="1068"/>
        <w:jc w:val="center"/>
      </w:pPr>
      <w:r w:rsidRPr="00F40C87">
        <w:rPr>
          <w:noProof/>
          <w:lang w:eastAsia="pl-PL"/>
        </w:rPr>
        <w:drawing>
          <wp:inline distT="0" distB="0" distL="0" distR="0">
            <wp:extent cx="5124450" cy="3200400"/>
            <wp:effectExtent l="19050" t="19050" r="0" b="0"/>
            <wp:docPr id="40" name="Obraz 40" descr="C:\Users\KMI\Desktop\info_obrazki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MI\Desktop\info_obrazki\17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20040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>
      <w:r>
        <w:br w:type="page"/>
      </w:r>
    </w:p>
    <w:p w:rsidR="00F40C87" w:rsidRDefault="00F40C87" w:rsidP="00E5216B">
      <w:pPr>
        <w:pStyle w:val="Akapitzlist"/>
        <w:numPr>
          <w:ilvl w:val="0"/>
          <w:numId w:val="10"/>
        </w:numPr>
        <w:jc w:val="both"/>
      </w:pPr>
      <w:r>
        <w:lastRenderedPageBreak/>
        <w:t>W przypadku pól obliczalnych ważna jest również weryfikacja formatu zwracanych danych, zwłaszcza jeżeli dane te są liczbowe.</w:t>
      </w:r>
    </w:p>
    <w:p w:rsidR="00346406" w:rsidRDefault="00346406" w:rsidP="00346406">
      <w:pPr>
        <w:pStyle w:val="Akapitzlist"/>
        <w:ind w:left="1068"/>
        <w:jc w:val="both"/>
      </w:pPr>
    </w:p>
    <w:p w:rsidR="00253C63" w:rsidRDefault="00253C63" w:rsidP="00783ECF">
      <w:pPr>
        <w:pStyle w:val="Akapitzlist"/>
        <w:ind w:left="1068"/>
        <w:jc w:val="center"/>
      </w:pPr>
      <w:r w:rsidRPr="00253C63">
        <w:rPr>
          <w:noProof/>
          <w:lang w:eastAsia="pl-PL"/>
        </w:rPr>
        <w:drawing>
          <wp:inline distT="0" distB="0" distL="0" distR="0">
            <wp:extent cx="4944955" cy="1209675"/>
            <wp:effectExtent l="19050" t="19050" r="8255" b="0"/>
            <wp:docPr id="1" name="Obraz 1" descr="C:\Users\KMI\Desktop\infomak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MI\Desktop\infomak\18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521" cy="1211526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53C63" w:rsidRDefault="00253C63" w:rsidP="00E5216B">
      <w:pPr>
        <w:pStyle w:val="Akapitzlist"/>
        <w:ind w:left="1068"/>
        <w:jc w:val="both"/>
      </w:pPr>
    </w:p>
    <w:p w:rsidR="00253C63" w:rsidRDefault="00253C63" w:rsidP="00783ECF">
      <w:pPr>
        <w:pStyle w:val="Akapitzlist"/>
        <w:ind w:left="1068"/>
        <w:jc w:val="center"/>
      </w:pPr>
      <w:r w:rsidRPr="00253C63">
        <w:rPr>
          <w:noProof/>
          <w:lang w:eastAsia="pl-PL"/>
        </w:rPr>
        <w:drawing>
          <wp:inline distT="0" distB="0" distL="0" distR="0">
            <wp:extent cx="4943475" cy="1206741"/>
            <wp:effectExtent l="19050" t="19050" r="0" b="0"/>
            <wp:docPr id="2" name="Obraz 2" descr="C:\Users\KMI\Desktop\infomak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MI\Desktop\infomak\19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0256" cy="1208396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>
      <w:r>
        <w:br w:type="page"/>
      </w:r>
    </w:p>
    <w:p w:rsidR="00253C63" w:rsidRDefault="00783ECF" w:rsidP="00783ECF">
      <w:pPr>
        <w:pStyle w:val="Nagwek1"/>
      </w:pPr>
      <w:bookmarkStart w:id="5" w:name="_Toc388186141"/>
      <w:r>
        <w:lastRenderedPageBreak/>
        <w:t xml:space="preserve">5. </w:t>
      </w:r>
      <w:r w:rsidR="00253C63">
        <w:t>Kolumny raportu</w:t>
      </w:r>
      <w:bookmarkEnd w:id="5"/>
    </w:p>
    <w:p w:rsidR="00253C63" w:rsidRDefault="00FB7263" w:rsidP="00E5216B">
      <w:pPr>
        <w:pStyle w:val="Akapitzlist"/>
        <w:numPr>
          <w:ilvl w:val="0"/>
          <w:numId w:val="11"/>
        </w:numPr>
        <w:jc w:val="both"/>
      </w:pPr>
      <w:r>
        <w:t>Kolumny raportu są kolumnami</w:t>
      </w:r>
      <w:r w:rsidR="009B3457">
        <w:t xml:space="preserve"> zwracanymi przez</w:t>
      </w:r>
      <w:r>
        <w:t xml:space="preserve"> </w:t>
      </w:r>
      <w:r w:rsidR="009B3457">
        <w:t>procedurę</w:t>
      </w:r>
      <w:r w:rsidR="00D50CAB">
        <w:t xml:space="preserve"> SQL</w:t>
      </w:r>
      <w:r w:rsidR="009B3457">
        <w:t xml:space="preserve"> powiązaną z raportem. Aby zidentyfikować procedurę należy w widoku projektu „</w:t>
      </w:r>
      <w:proofErr w:type="spellStart"/>
      <w:r w:rsidR="009B3457">
        <w:t>Column</w:t>
      </w:r>
      <w:proofErr w:type="spellEnd"/>
      <w:r w:rsidR="009B3457">
        <w:t xml:space="preserve"> </w:t>
      </w:r>
      <w:proofErr w:type="spellStart"/>
      <w:r w:rsidR="009B3457">
        <w:t>specifications</w:t>
      </w:r>
      <w:proofErr w:type="spellEnd"/>
      <w:r w:rsidR="009B3457">
        <w:t>” wywołać prawym klawiszem myszy funkcję „</w:t>
      </w:r>
      <w:proofErr w:type="spellStart"/>
      <w:r w:rsidR="009B3457">
        <w:t>S</w:t>
      </w:r>
      <w:r w:rsidR="009B3457" w:rsidRPr="009B3457">
        <w:t>tored</w:t>
      </w:r>
      <w:proofErr w:type="spellEnd"/>
      <w:r w:rsidR="009B3457" w:rsidRPr="009B3457">
        <w:t xml:space="preserve">  </w:t>
      </w:r>
      <w:proofErr w:type="spellStart"/>
      <w:r w:rsidR="009B3457">
        <w:t>procedure</w:t>
      </w:r>
      <w:proofErr w:type="spellEnd"/>
      <w:r w:rsidR="009B3457">
        <w:t>”.</w:t>
      </w:r>
    </w:p>
    <w:p w:rsidR="009B3457" w:rsidRDefault="009B3457" w:rsidP="00783ECF">
      <w:pPr>
        <w:pStyle w:val="Akapitzlist"/>
        <w:jc w:val="center"/>
      </w:pPr>
      <w:r w:rsidRPr="009B3457">
        <w:rPr>
          <w:noProof/>
          <w:lang w:eastAsia="pl-PL"/>
        </w:rPr>
        <w:drawing>
          <wp:inline distT="0" distB="0" distL="0" distR="0">
            <wp:extent cx="4105275" cy="2152650"/>
            <wp:effectExtent l="19050" t="19050" r="9525" b="0"/>
            <wp:docPr id="3" name="Obraz 3" descr="C:\Users\KMI\Desktop\info_obrazki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MI\Desktop\info_obrazki\23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15265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 w:rsidP="00783ECF">
      <w:pPr>
        <w:pStyle w:val="Akapitzlist"/>
        <w:jc w:val="center"/>
      </w:pPr>
    </w:p>
    <w:p w:rsidR="00D50CAB" w:rsidRDefault="009B3457" w:rsidP="00E5216B">
      <w:pPr>
        <w:pStyle w:val="Akapitzlist"/>
        <w:numPr>
          <w:ilvl w:val="0"/>
          <w:numId w:val="11"/>
        </w:numPr>
        <w:jc w:val="both"/>
      </w:pPr>
      <w:r>
        <w:t xml:space="preserve">Po modyfikacji procedury, jeżeli nastąpiła zmiana nazwy kolumny, modyfikacja jej wartości lub typu, dodanie nowej, </w:t>
      </w:r>
      <w:r w:rsidR="00D50CAB">
        <w:t>albo</w:t>
      </w:r>
      <w:r>
        <w:t xml:space="preserve"> usunięcie istniejącej należy dokonać odpowiednich  zmian w specyfikacji kolumn w projekcie</w:t>
      </w:r>
      <w:r w:rsidR="00D50CAB">
        <w:t>.</w:t>
      </w:r>
    </w:p>
    <w:p w:rsidR="009B3457" w:rsidRDefault="00D50CAB" w:rsidP="00E5216B">
      <w:pPr>
        <w:pStyle w:val="Akapitzlist"/>
        <w:jc w:val="both"/>
      </w:pPr>
      <w:r>
        <w:t>Uwaga: kolejność kolumn w projekcie musi być identyczna jak w procedurze SQL.</w:t>
      </w:r>
    </w:p>
    <w:p w:rsidR="00D50CAB" w:rsidRDefault="00D50CAB" w:rsidP="00E5216B">
      <w:pPr>
        <w:pStyle w:val="Akapitzlist"/>
        <w:numPr>
          <w:ilvl w:val="0"/>
          <w:numId w:val="11"/>
        </w:numPr>
        <w:jc w:val="both"/>
      </w:pPr>
      <w:r>
        <w:t xml:space="preserve">Aby dodać nową kolumnę należy wybrać z paska zadań przycisk „Insert </w:t>
      </w:r>
      <w:proofErr w:type="spellStart"/>
      <w:r>
        <w:t>row</w:t>
      </w:r>
      <w:proofErr w:type="spellEnd"/>
      <w:r>
        <w:t>”, lub w obszarze  „</w:t>
      </w:r>
      <w:proofErr w:type="spellStart"/>
      <w:r>
        <w:t>Column</w:t>
      </w:r>
      <w:proofErr w:type="spellEnd"/>
      <w:r>
        <w:t xml:space="preserve"> </w:t>
      </w:r>
      <w:proofErr w:type="spellStart"/>
      <w:r>
        <w:t>specifications</w:t>
      </w:r>
      <w:proofErr w:type="spellEnd"/>
      <w:r>
        <w:t>” wywołać go prawym klawiszem myszy.</w:t>
      </w:r>
    </w:p>
    <w:p w:rsidR="00346406" w:rsidRDefault="00346406" w:rsidP="00346406">
      <w:pPr>
        <w:pStyle w:val="Akapitzlist"/>
        <w:jc w:val="both"/>
      </w:pPr>
    </w:p>
    <w:p w:rsidR="00D50CAB" w:rsidRDefault="00D50CAB" w:rsidP="00783ECF">
      <w:pPr>
        <w:pStyle w:val="Akapitzlist"/>
        <w:jc w:val="center"/>
      </w:pPr>
      <w:r w:rsidRPr="00D50CAB">
        <w:rPr>
          <w:noProof/>
          <w:lang w:eastAsia="pl-PL"/>
        </w:rPr>
        <w:drawing>
          <wp:inline distT="0" distB="0" distL="0" distR="0">
            <wp:extent cx="1847850" cy="523875"/>
            <wp:effectExtent l="19050" t="19050" r="0" b="9525"/>
            <wp:docPr id="4" name="Obraz 4" descr="C:\Users\KMI\Desktop\info_obrazki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MI\Desktop\info_obrazki\2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52387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46406" w:rsidRDefault="00346406" w:rsidP="00783ECF">
      <w:pPr>
        <w:pStyle w:val="Akapitzlist"/>
        <w:jc w:val="center"/>
      </w:pPr>
    </w:p>
    <w:p w:rsidR="00D50CAB" w:rsidRDefault="00D50CAB" w:rsidP="00E5216B">
      <w:pPr>
        <w:pStyle w:val="Akapitzlist"/>
        <w:numPr>
          <w:ilvl w:val="0"/>
          <w:numId w:val="11"/>
        </w:numPr>
        <w:jc w:val="both"/>
      </w:pPr>
      <w:r>
        <w:t xml:space="preserve">Po dodaniu </w:t>
      </w:r>
      <w:r w:rsidR="00A00A0E">
        <w:t>kolumny należy uzupełnić jej dane: nazwę, typ, wartość.</w:t>
      </w:r>
    </w:p>
    <w:p w:rsidR="00A00A0E" w:rsidRDefault="00A00A0E" w:rsidP="00783ECF">
      <w:pPr>
        <w:pStyle w:val="Akapitzlist"/>
        <w:jc w:val="center"/>
      </w:pPr>
      <w:r w:rsidRPr="00A00A0E">
        <w:rPr>
          <w:noProof/>
          <w:lang w:eastAsia="pl-PL"/>
        </w:rPr>
        <w:drawing>
          <wp:inline distT="0" distB="0" distL="0" distR="0">
            <wp:extent cx="5238750" cy="2676525"/>
            <wp:effectExtent l="19050" t="19050" r="0" b="9525"/>
            <wp:docPr id="5" name="Obraz 5" descr="C:\Users\KMI\Desktop\info_obrazki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MI\Desktop\info_obrazki\20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67652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00A0E" w:rsidRDefault="00A00A0E" w:rsidP="00E5216B">
      <w:pPr>
        <w:pStyle w:val="Akapitzlist"/>
        <w:jc w:val="both"/>
      </w:pPr>
    </w:p>
    <w:p w:rsidR="00A00A0E" w:rsidRDefault="00A00A0E" w:rsidP="00783ECF">
      <w:pPr>
        <w:pStyle w:val="Akapitzlist"/>
        <w:jc w:val="center"/>
      </w:pPr>
      <w:r w:rsidRPr="00A00A0E">
        <w:rPr>
          <w:noProof/>
          <w:lang w:eastAsia="pl-PL"/>
        </w:rPr>
        <w:lastRenderedPageBreak/>
        <w:drawing>
          <wp:inline distT="0" distB="0" distL="0" distR="0">
            <wp:extent cx="5172075" cy="2200275"/>
            <wp:effectExtent l="19050" t="19050" r="9525" b="9525"/>
            <wp:docPr id="6" name="Obraz 6" descr="C:\Users\KMI\Desktop\info_obrazki\2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MI\Desktop\info_obrazki\21a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20027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00A0E" w:rsidRDefault="00A00A0E" w:rsidP="00E5216B">
      <w:pPr>
        <w:pStyle w:val="Akapitzlist"/>
        <w:jc w:val="both"/>
      </w:pPr>
    </w:p>
    <w:p w:rsidR="00A00A0E" w:rsidRPr="00253C63" w:rsidRDefault="00A00A0E" w:rsidP="00783ECF">
      <w:pPr>
        <w:pStyle w:val="Akapitzlist"/>
        <w:jc w:val="center"/>
      </w:pPr>
      <w:r w:rsidRPr="00A00A0E">
        <w:rPr>
          <w:noProof/>
          <w:lang w:eastAsia="pl-PL"/>
        </w:rPr>
        <w:drawing>
          <wp:inline distT="0" distB="0" distL="0" distR="0">
            <wp:extent cx="5067300" cy="2324100"/>
            <wp:effectExtent l="19050" t="19050" r="0" b="0"/>
            <wp:docPr id="7" name="Obraz 7" descr="C:\Users\KMI\Desktop\info_obrazki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MI\Desktop\info_obrazki\22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32410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B5311A" w:rsidRDefault="00B5311A" w:rsidP="00E5216B">
      <w:pPr>
        <w:jc w:val="both"/>
      </w:pPr>
    </w:p>
    <w:sectPr w:rsidR="00B5311A" w:rsidSect="0086635C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007A" w:rsidRDefault="00BC007A" w:rsidP="00045413">
      <w:pPr>
        <w:spacing w:after="0" w:line="240" w:lineRule="auto"/>
      </w:pPr>
      <w:r>
        <w:separator/>
      </w:r>
    </w:p>
  </w:endnote>
  <w:endnote w:type="continuationSeparator" w:id="0">
    <w:p w:rsidR="00BC007A" w:rsidRDefault="00BC007A" w:rsidP="000454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A89" w:rsidRDefault="00710A89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4179"/>
      <w:gridCol w:w="929"/>
      <w:gridCol w:w="4180"/>
    </w:tblGrid>
    <w:tr w:rsidR="00045413">
      <w:trPr>
        <w:trHeight w:val="151"/>
      </w:trPr>
      <w:tc>
        <w:tcPr>
          <w:tcW w:w="2250" w:type="pct"/>
          <w:tcBorders>
            <w:bottom w:val="single" w:sz="4" w:space="0" w:color="0F6FC6" w:themeColor="accent1"/>
          </w:tcBorders>
        </w:tcPr>
        <w:p w:rsidR="00045413" w:rsidRDefault="00045413">
          <w:pPr>
            <w:pStyle w:val="Nagwek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 w:val="restart"/>
          <w:noWrap/>
          <w:vAlign w:val="center"/>
        </w:tcPr>
        <w:p w:rsidR="00045413" w:rsidRDefault="00D21996" w:rsidP="00710A89">
          <w:pPr>
            <w:pStyle w:val="Bezodstpw"/>
            <w:jc w:val="center"/>
            <w:rPr>
              <w:rFonts w:asciiTheme="majorHAnsi" w:hAnsiTheme="majorHAnsi"/>
            </w:rPr>
          </w:pPr>
          <w:r>
            <w:fldChar w:fldCharType="begin"/>
          </w:r>
          <w:r>
            <w:instrText xml:space="preserve"> PAGE  \* MERGEFORMAT </w:instrText>
          </w:r>
          <w:r>
            <w:fldChar w:fldCharType="separate"/>
          </w:r>
          <w:r w:rsidR="00827707" w:rsidRPr="00827707">
            <w:rPr>
              <w:rFonts w:asciiTheme="majorHAnsi" w:hAnsiTheme="majorHAnsi"/>
              <w:b/>
              <w:noProof/>
            </w:rPr>
            <w:t>1</w:t>
          </w:r>
          <w:r>
            <w:rPr>
              <w:rFonts w:asciiTheme="majorHAnsi" w:hAnsiTheme="majorHAnsi"/>
              <w:b/>
              <w:noProof/>
            </w:rPr>
            <w:fldChar w:fldCharType="end"/>
          </w:r>
        </w:p>
      </w:tc>
      <w:tc>
        <w:tcPr>
          <w:tcW w:w="2250" w:type="pct"/>
          <w:tcBorders>
            <w:bottom w:val="single" w:sz="4" w:space="0" w:color="0F6FC6" w:themeColor="accent1"/>
          </w:tcBorders>
        </w:tcPr>
        <w:p w:rsidR="00045413" w:rsidRDefault="00045413">
          <w:pPr>
            <w:pStyle w:val="Nagwek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045413">
      <w:trPr>
        <w:trHeight w:val="150"/>
      </w:trPr>
      <w:tc>
        <w:tcPr>
          <w:tcW w:w="2250" w:type="pct"/>
          <w:tcBorders>
            <w:top w:val="single" w:sz="4" w:space="0" w:color="0F6FC6" w:themeColor="accent1"/>
          </w:tcBorders>
        </w:tcPr>
        <w:p w:rsidR="00045413" w:rsidRDefault="00045413">
          <w:pPr>
            <w:pStyle w:val="Nagwek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/>
        </w:tcPr>
        <w:p w:rsidR="00045413" w:rsidRDefault="00045413">
          <w:pPr>
            <w:pStyle w:val="Nagwek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0F6FC6" w:themeColor="accent1"/>
          </w:tcBorders>
        </w:tcPr>
        <w:p w:rsidR="00045413" w:rsidRDefault="00045413">
          <w:pPr>
            <w:pStyle w:val="Nagwek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:rsidR="00045413" w:rsidRDefault="00045413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A89" w:rsidRDefault="00710A89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007A" w:rsidRDefault="00BC007A" w:rsidP="00045413">
      <w:pPr>
        <w:spacing w:after="0" w:line="240" w:lineRule="auto"/>
      </w:pPr>
      <w:r>
        <w:separator/>
      </w:r>
    </w:p>
  </w:footnote>
  <w:footnote w:type="continuationSeparator" w:id="0">
    <w:p w:rsidR="00BC007A" w:rsidRDefault="00BC007A" w:rsidP="000454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A89" w:rsidRDefault="00710A89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A89" w:rsidRDefault="00710A89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A89" w:rsidRDefault="00710A89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B51FB0"/>
    <w:multiLevelType w:val="hybridMultilevel"/>
    <w:tmpl w:val="1F5448B8"/>
    <w:lvl w:ilvl="0" w:tplc="F7E0D08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117E40F5"/>
    <w:multiLevelType w:val="hybridMultilevel"/>
    <w:tmpl w:val="D79071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4D3B0D"/>
    <w:multiLevelType w:val="hybridMultilevel"/>
    <w:tmpl w:val="96A26940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2706C2"/>
    <w:multiLevelType w:val="hybridMultilevel"/>
    <w:tmpl w:val="4CA0EE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75333EB"/>
    <w:multiLevelType w:val="hybridMultilevel"/>
    <w:tmpl w:val="11565C84"/>
    <w:lvl w:ilvl="0" w:tplc="825EE596">
      <w:start w:val="1"/>
      <w:numFmt w:val="decimal"/>
      <w:lvlText w:val="%1."/>
      <w:lvlJc w:val="left"/>
      <w:pPr>
        <w:ind w:left="178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>
    <w:nsid w:val="3E754D1A"/>
    <w:multiLevelType w:val="hybridMultilevel"/>
    <w:tmpl w:val="514C56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503956"/>
    <w:multiLevelType w:val="hybridMultilevel"/>
    <w:tmpl w:val="1F5448B8"/>
    <w:lvl w:ilvl="0" w:tplc="F7E0D08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48A761A5"/>
    <w:multiLevelType w:val="hybridMultilevel"/>
    <w:tmpl w:val="5D6ECC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BDE4208"/>
    <w:multiLevelType w:val="hybridMultilevel"/>
    <w:tmpl w:val="E278AD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C85424"/>
    <w:multiLevelType w:val="hybridMultilevel"/>
    <w:tmpl w:val="60B0A0D6"/>
    <w:lvl w:ilvl="0" w:tplc="825EE59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2980A26"/>
    <w:multiLevelType w:val="hybridMultilevel"/>
    <w:tmpl w:val="CEBA4FB6"/>
    <w:lvl w:ilvl="0" w:tplc="254A08C6">
      <w:start w:val="1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5"/>
  </w:num>
  <w:num w:numId="5">
    <w:abstractNumId w:val="7"/>
  </w:num>
  <w:num w:numId="6">
    <w:abstractNumId w:val="10"/>
  </w:num>
  <w:num w:numId="7">
    <w:abstractNumId w:val="9"/>
  </w:num>
  <w:num w:numId="8">
    <w:abstractNumId w:val="4"/>
  </w:num>
  <w:num w:numId="9">
    <w:abstractNumId w:val="6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B2791"/>
    <w:rsid w:val="00045413"/>
    <w:rsid w:val="000A2467"/>
    <w:rsid w:val="000A728B"/>
    <w:rsid w:val="000E29D6"/>
    <w:rsid w:val="001033C6"/>
    <w:rsid w:val="00186EFE"/>
    <w:rsid w:val="001C3EA2"/>
    <w:rsid w:val="00253C63"/>
    <w:rsid w:val="002B232F"/>
    <w:rsid w:val="003000A0"/>
    <w:rsid w:val="003101FF"/>
    <w:rsid w:val="00346406"/>
    <w:rsid w:val="00381F75"/>
    <w:rsid w:val="003C49A2"/>
    <w:rsid w:val="00561967"/>
    <w:rsid w:val="005853DE"/>
    <w:rsid w:val="005F459A"/>
    <w:rsid w:val="00616E33"/>
    <w:rsid w:val="006E6E7D"/>
    <w:rsid w:val="00704BEF"/>
    <w:rsid w:val="00710A89"/>
    <w:rsid w:val="00783ECF"/>
    <w:rsid w:val="00827707"/>
    <w:rsid w:val="0086635C"/>
    <w:rsid w:val="00882FD6"/>
    <w:rsid w:val="00906063"/>
    <w:rsid w:val="00915609"/>
    <w:rsid w:val="00947BFF"/>
    <w:rsid w:val="009542E1"/>
    <w:rsid w:val="009B3457"/>
    <w:rsid w:val="00A00A0E"/>
    <w:rsid w:val="00A36F56"/>
    <w:rsid w:val="00A42883"/>
    <w:rsid w:val="00AA2B90"/>
    <w:rsid w:val="00B12268"/>
    <w:rsid w:val="00B5311A"/>
    <w:rsid w:val="00BC007A"/>
    <w:rsid w:val="00BD6EAA"/>
    <w:rsid w:val="00C64053"/>
    <w:rsid w:val="00CB0F59"/>
    <w:rsid w:val="00CC779F"/>
    <w:rsid w:val="00CE7C1B"/>
    <w:rsid w:val="00CF1450"/>
    <w:rsid w:val="00D0242A"/>
    <w:rsid w:val="00D21996"/>
    <w:rsid w:val="00D50CAB"/>
    <w:rsid w:val="00DA429B"/>
    <w:rsid w:val="00DF0371"/>
    <w:rsid w:val="00E112A8"/>
    <w:rsid w:val="00E178A8"/>
    <w:rsid w:val="00E225D5"/>
    <w:rsid w:val="00E5216B"/>
    <w:rsid w:val="00E866CF"/>
    <w:rsid w:val="00EB2791"/>
    <w:rsid w:val="00F129A7"/>
    <w:rsid w:val="00F40C87"/>
    <w:rsid w:val="00F41E8E"/>
    <w:rsid w:val="00F65404"/>
    <w:rsid w:val="00FB7263"/>
    <w:rsid w:val="00FD1E18"/>
    <w:rsid w:val="00FE00CB"/>
    <w:rsid w:val="00FE63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90C1743-47A9-4631-802B-97BE7B272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6635C"/>
  </w:style>
  <w:style w:type="paragraph" w:styleId="Nagwek1">
    <w:name w:val="heading 1"/>
    <w:basedOn w:val="Normalny"/>
    <w:next w:val="Normalny"/>
    <w:link w:val="Nagwek1Znak"/>
    <w:uiPriority w:val="9"/>
    <w:qFormat/>
    <w:rsid w:val="003101F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B5294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B2791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27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2791"/>
    <w:rPr>
      <w:rFonts w:ascii="Tahoma" w:hAnsi="Tahoma" w:cs="Tahoma"/>
      <w:sz w:val="16"/>
      <w:szCs w:val="16"/>
    </w:rPr>
  </w:style>
  <w:style w:type="paragraph" w:styleId="Tytu">
    <w:name w:val="Title"/>
    <w:basedOn w:val="Normalny"/>
    <w:next w:val="Normalny"/>
    <w:link w:val="TytuZnak"/>
    <w:uiPriority w:val="10"/>
    <w:qFormat/>
    <w:rsid w:val="003101FF"/>
    <w:pPr>
      <w:pBdr>
        <w:bottom w:val="single" w:sz="8" w:space="4" w:color="0F6FC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3485B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3101FF"/>
    <w:rPr>
      <w:rFonts w:asciiTheme="majorHAnsi" w:eastAsiaTheme="majorEastAsia" w:hAnsiTheme="majorHAnsi" w:cstheme="majorBidi"/>
      <w:color w:val="03485B" w:themeColor="text2" w:themeShade="BF"/>
      <w:spacing w:val="5"/>
      <w:kern w:val="28"/>
      <w:sz w:val="52"/>
      <w:szCs w:val="52"/>
    </w:rPr>
  </w:style>
  <w:style w:type="character" w:customStyle="1" w:styleId="Nagwek1Znak">
    <w:name w:val="Nagłówek 1 Znak"/>
    <w:basedOn w:val="Domylnaczcionkaakapitu"/>
    <w:link w:val="Nagwek1"/>
    <w:uiPriority w:val="9"/>
    <w:rsid w:val="003101FF"/>
    <w:rPr>
      <w:rFonts w:asciiTheme="majorHAnsi" w:eastAsiaTheme="majorEastAsia" w:hAnsiTheme="majorHAnsi" w:cstheme="majorBidi"/>
      <w:b/>
      <w:bCs/>
      <w:color w:val="0B5294" w:themeColor="accent1" w:themeShade="BF"/>
      <w:sz w:val="28"/>
      <w:szCs w:val="28"/>
    </w:rPr>
  </w:style>
  <w:style w:type="paragraph" w:styleId="Nagwek">
    <w:name w:val="header"/>
    <w:basedOn w:val="Normalny"/>
    <w:link w:val="NagwekZnak"/>
    <w:uiPriority w:val="99"/>
    <w:unhideWhenUsed/>
    <w:rsid w:val="000454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45413"/>
  </w:style>
  <w:style w:type="paragraph" w:styleId="Stopka">
    <w:name w:val="footer"/>
    <w:basedOn w:val="Normalny"/>
    <w:link w:val="StopkaZnak"/>
    <w:uiPriority w:val="99"/>
    <w:unhideWhenUsed/>
    <w:rsid w:val="000454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45413"/>
  </w:style>
  <w:style w:type="paragraph" w:styleId="Bezodstpw">
    <w:name w:val="No Spacing"/>
    <w:link w:val="BezodstpwZnak"/>
    <w:uiPriority w:val="1"/>
    <w:qFormat/>
    <w:rsid w:val="00045413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045413"/>
    <w:rPr>
      <w:rFonts w:eastAsiaTheme="minorEastAsi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83ECF"/>
    <w:pPr>
      <w:spacing w:before="240" w:line="259" w:lineRule="auto"/>
      <w:outlineLvl w:val="9"/>
    </w:pPr>
    <w:rPr>
      <w:b w:val="0"/>
      <w:bCs w:val="0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83ECF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783ECF"/>
    <w:rPr>
      <w:color w:val="E2D700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Softeam Sp. z o.o.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177BCCD-D494-42DB-AB1A-CDDB310362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15</Pages>
  <Words>638</Words>
  <Characters>3831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4461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Krzysztof</dc:creator>
  <cp:lastModifiedBy>Krzysztof Mizera</cp:lastModifiedBy>
  <cp:revision>4</cp:revision>
  <dcterms:created xsi:type="dcterms:W3CDTF">2014-05-18T12:30:00Z</dcterms:created>
  <dcterms:modified xsi:type="dcterms:W3CDTF">2014-05-18T12:51:00Z</dcterms:modified>
</cp:coreProperties>
</file>