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7D7F" w:rsidRDefault="00487D7F" w:rsidP="00FD69CD">
      <w:pPr>
        <w:pStyle w:val="Tytu"/>
        <w:jc w:val="both"/>
      </w:pPr>
      <w:r>
        <w:t>Inwentaryzacja</w:t>
      </w:r>
    </w:p>
    <w:sdt>
      <w:sdtPr>
        <w:id w:val="1743903508"/>
        <w:docPartObj>
          <w:docPartGallery w:val="Table of Contents"/>
          <w:docPartUnique/>
        </w:docPartObj>
      </w:sdtPr>
      <w:sdtEndPr>
        <w:rPr>
          <w:rFonts w:asciiTheme="minorHAnsi" w:eastAsiaTheme="minorHAnsi" w:hAnsiTheme="minorHAnsi" w:cstheme="minorBidi"/>
          <w:color w:val="auto"/>
          <w:sz w:val="22"/>
          <w:szCs w:val="22"/>
          <w:lang w:eastAsia="en-US"/>
        </w:rPr>
      </w:sdtEndPr>
      <w:sdtContent>
        <w:p w:rsidR="00FD69CD" w:rsidRDefault="00FD69CD">
          <w:pPr>
            <w:pStyle w:val="Nagwekspisutreci"/>
          </w:pPr>
          <w:r>
            <w:t>Spis treści</w:t>
          </w:r>
        </w:p>
        <w:p w:rsidR="00A87914" w:rsidRDefault="00FD69CD">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369994857" w:history="1">
            <w:r w:rsidR="00A87914" w:rsidRPr="00A14F6E">
              <w:rPr>
                <w:rStyle w:val="Hipercze"/>
                <w:noProof/>
              </w:rPr>
              <w:t>1. Przygotowanie</w:t>
            </w:r>
            <w:r w:rsidR="00A87914">
              <w:rPr>
                <w:noProof/>
                <w:webHidden/>
              </w:rPr>
              <w:tab/>
            </w:r>
            <w:r w:rsidR="00A87914">
              <w:rPr>
                <w:noProof/>
                <w:webHidden/>
              </w:rPr>
              <w:fldChar w:fldCharType="begin"/>
            </w:r>
            <w:r w:rsidR="00A87914">
              <w:rPr>
                <w:noProof/>
                <w:webHidden/>
              </w:rPr>
              <w:instrText xml:space="preserve"> PAGEREF _Toc369994857 \h </w:instrText>
            </w:r>
            <w:r w:rsidR="00A87914">
              <w:rPr>
                <w:noProof/>
                <w:webHidden/>
              </w:rPr>
            </w:r>
            <w:r w:rsidR="00A87914">
              <w:rPr>
                <w:noProof/>
                <w:webHidden/>
              </w:rPr>
              <w:fldChar w:fldCharType="separate"/>
            </w:r>
            <w:r w:rsidR="00A87914">
              <w:rPr>
                <w:noProof/>
                <w:webHidden/>
              </w:rPr>
              <w:t>2</w:t>
            </w:r>
            <w:r w:rsidR="00A87914">
              <w:rPr>
                <w:noProof/>
                <w:webHidden/>
              </w:rPr>
              <w:fldChar w:fldCharType="end"/>
            </w:r>
          </w:hyperlink>
        </w:p>
        <w:p w:rsidR="00A87914" w:rsidRDefault="00A87914">
          <w:pPr>
            <w:pStyle w:val="Spistreci2"/>
            <w:tabs>
              <w:tab w:val="right" w:leader="dot" w:pos="9062"/>
            </w:tabs>
            <w:rPr>
              <w:rFonts w:eastAsiaTheme="minorEastAsia"/>
              <w:noProof/>
              <w:lang w:eastAsia="pl-PL"/>
            </w:rPr>
          </w:pPr>
          <w:hyperlink w:anchor="_Toc369994858" w:history="1">
            <w:r w:rsidRPr="00A14F6E">
              <w:rPr>
                <w:rStyle w:val="Hipercze"/>
                <w:noProof/>
              </w:rPr>
              <w:t>1.1 Zdefiniowanie inwentaryzacji</w:t>
            </w:r>
            <w:r>
              <w:rPr>
                <w:noProof/>
                <w:webHidden/>
              </w:rPr>
              <w:tab/>
            </w:r>
            <w:r>
              <w:rPr>
                <w:noProof/>
                <w:webHidden/>
              </w:rPr>
              <w:fldChar w:fldCharType="begin"/>
            </w:r>
            <w:r>
              <w:rPr>
                <w:noProof/>
                <w:webHidden/>
              </w:rPr>
              <w:instrText xml:space="preserve"> PAGEREF _Toc369994858 \h </w:instrText>
            </w:r>
            <w:r>
              <w:rPr>
                <w:noProof/>
                <w:webHidden/>
              </w:rPr>
            </w:r>
            <w:r>
              <w:rPr>
                <w:noProof/>
                <w:webHidden/>
              </w:rPr>
              <w:fldChar w:fldCharType="separate"/>
            </w:r>
            <w:r>
              <w:rPr>
                <w:noProof/>
                <w:webHidden/>
              </w:rPr>
              <w:t>2</w:t>
            </w:r>
            <w:r>
              <w:rPr>
                <w:noProof/>
                <w:webHidden/>
              </w:rPr>
              <w:fldChar w:fldCharType="end"/>
            </w:r>
          </w:hyperlink>
        </w:p>
        <w:p w:rsidR="00A87914" w:rsidRDefault="00A87914">
          <w:pPr>
            <w:pStyle w:val="Spistreci2"/>
            <w:tabs>
              <w:tab w:val="right" w:leader="dot" w:pos="9062"/>
            </w:tabs>
            <w:rPr>
              <w:rFonts w:eastAsiaTheme="minorEastAsia"/>
              <w:noProof/>
              <w:lang w:eastAsia="pl-PL"/>
            </w:rPr>
          </w:pPr>
          <w:hyperlink w:anchor="_Toc369994859" w:history="1">
            <w:r w:rsidRPr="00A14F6E">
              <w:rPr>
                <w:rStyle w:val="Hipercze"/>
                <w:noProof/>
              </w:rPr>
              <w:t>1.2 Przygotowanie arkuszy spisowych.</w:t>
            </w:r>
            <w:r>
              <w:rPr>
                <w:noProof/>
                <w:webHidden/>
              </w:rPr>
              <w:tab/>
            </w:r>
            <w:r>
              <w:rPr>
                <w:noProof/>
                <w:webHidden/>
              </w:rPr>
              <w:fldChar w:fldCharType="begin"/>
            </w:r>
            <w:r>
              <w:rPr>
                <w:noProof/>
                <w:webHidden/>
              </w:rPr>
              <w:instrText xml:space="preserve"> PAGEREF _Toc369994859 \h </w:instrText>
            </w:r>
            <w:r>
              <w:rPr>
                <w:noProof/>
                <w:webHidden/>
              </w:rPr>
            </w:r>
            <w:r>
              <w:rPr>
                <w:noProof/>
                <w:webHidden/>
              </w:rPr>
              <w:fldChar w:fldCharType="separate"/>
            </w:r>
            <w:r>
              <w:rPr>
                <w:noProof/>
                <w:webHidden/>
              </w:rPr>
              <w:t>5</w:t>
            </w:r>
            <w:r>
              <w:rPr>
                <w:noProof/>
                <w:webHidden/>
              </w:rPr>
              <w:fldChar w:fldCharType="end"/>
            </w:r>
          </w:hyperlink>
        </w:p>
        <w:p w:rsidR="00A87914" w:rsidRDefault="00A87914">
          <w:pPr>
            <w:pStyle w:val="Spistreci1"/>
            <w:tabs>
              <w:tab w:val="right" w:leader="dot" w:pos="9062"/>
            </w:tabs>
            <w:rPr>
              <w:rFonts w:eastAsiaTheme="minorEastAsia"/>
              <w:noProof/>
              <w:lang w:eastAsia="pl-PL"/>
            </w:rPr>
          </w:pPr>
          <w:hyperlink w:anchor="_Toc369994860" w:history="1">
            <w:r w:rsidRPr="00A14F6E">
              <w:rPr>
                <w:rStyle w:val="Hipercze"/>
                <w:noProof/>
              </w:rPr>
              <w:t>2. Rozliczenie</w:t>
            </w:r>
            <w:r>
              <w:rPr>
                <w:noProof/>
                <w:webHidden/>
              </w:rPr>
              <w:tab/>
            </w:r>
            <w:r>
              <w:rPr>
                <w:noProof/>
                <w:webHidden/>
              </w:rPr>
              <w:fldChar w:fldCharType="begin"/>
            </w:r>
            <w:r>
              <w:rPr>
                <w:noProof/>
                <w:webHidden/>
              </w:rPr>
              <w:instrText xml:space="preserve"> PAGEREF _Toc369994860 \h </w:instrText>
            </w:r>
            <w:r>
              <w:rPr>
                <w:noProof/>
                <w:webHidden/>
              </w:rPr>
            </w:r>
            <w:r>
              <w:rPr>
                <w:noProof/>
                <w:webHidden/>
              </w:rPr>
              <w:fldChar w:fldCharType="separate"/>
            </w:r>
            <w:r>
              <w:rPr>
                <w:noProof/>
                <w:webHidden/>
              </w:rPr>
              <w:t>10</w:t>
            </w:r>
            <w:r>
              <w:rPr>
                <w:noProof/>
                <w:webHidden/>
              </w:rPr>
              <w:fldChar w:fldCharType="end"/>
            </w:r>
          </w:hyperlink>
        </w:p>
        <w:p w:rsidR="00A87914" w:rsidRDefault="00A87914">
          <w:pPr>
            <w:pStyle w:val="Spistreci2"/>
            <w:tabs>
              <w:tab w:val="right" w:leader="dot" w:pos="9062"/>
            </w:tabs>
            <w:rPr>
              <w:rFonts w:eastAsiaTheme="minorEastAsia"/>
              <w:noProof/>
              <w:lang w:eastAsia="pl-PL"/>
            </w:rPr>
          </w:pPr>
          <w:hyperlink w:anchor="_Toc369994861" w:history="1">
            <w:r w:rsidRPr="00A14F6E">
              <w:rPr>
                <w:rStyle w:val="Hipercze"/>
                <w:noProof/>
              </w:rPr>
              <w:t>2.1 Wprowadzenie wyników zliczania</w:t>
            </w:r>
            <w:r>
              <w:rPr>
                <w:noProof/>
                <w:webHidden/>
              </w:rPr>
              <w:tab/>
            </w:r>
            <w:r>
              <w:rPr>
                <w:noProof/>
                <w:webHidden/>
              </w:rPr>
              <w:fldChar w:fldCharType="begin"/>
            </w:r>
            <w:r>
              <w:rPr>
                <w:noProof/>
                <w:webHidden/>
              </w:rPr>
              <w:instrText xml:space="preserve"> PAGEREF _Toc369994861 \h </w:instrText>
            </w:r>
            <w:r>
              <w:rPr>
                <w:noProof/>
                <w:webHidden/>
              </w:rPr>
            </w:r>
            <w:r>
              <w:rPr>
                <w:noProof/>
                <w:webHidden/>
              </w:rPr>
              <w:fldChar w:fldCharType="separate"/>
            </w:r>
            <w:r>
              <w:rPr>
                <w:noProof/>
                <w:webHidden/>
              </w:rPr>
              <w:t>10</w:t>
            </w:r>
            <w:r>
              <w:rPr>
                <w:noProof/>
                <w:webHidden/>
              </w:rPr>
              <w:fldChar w:fldCharType="end"/>
            </w:r>
          </w:hyperlink>
        </w:p>
        <w:p w:rsidR="00A87914" w:rsidRDefault="00A87914">
          <w:pPr>
            <w:pStyle w:val="Spistreci2"/>
            <w:tabs>
              <w:tab w:val="right" w:leader="dot" w:pos="9062"/>
            </w:tabs>
            <w:rPr>
              <w:rFonts w:eastAsiaTheme="minorEastAsia"/>
              <w:noProof/>
              <w:lang w:eastAsia="pl-PL"/>
            </w:rPr>
          </w:pPr>
          <w:hyperlink w:anchor="_Toc369994862" w:history="1">
            <w:r w:rsidRPr="00A14F6E">
              <w:rPr>
                <w:rStyle w:val="Hipercze"/>
                <w:noProof/>
              </w:rPr>
              <w:t>2.2 Zatwierdzenie inwentaryzacji</w:t>
            </w:r>
            <w:r>
              <w:rPr>
                <w:noProof/>
                <w:webHidden/>
              </w:rPr>
              <w:tab/>
            </w:r>
            <w:r>
              <w:rPr>
                <w:noProof/>
                <w:webHidden/>
              </w:rPr>
              <w:fldChar w:fldCharType="begin"/>
            </w:r>
            <w:r>
              <w:rPr>
                <w:noProof/>
                <w:webHidden/>
              </w:rPr>
              <w:instrText xml:space="preserve"> PAGEREF _Toc369994862 \h </w:instrText>
            </w:r>
            <w:r>
              <w:rPr>
                <w:noProof/>
                <w:webHidden/>
              </w:rPr>
            </w:r>
            <w:r>
              <w:rPr>
                <w:noProof/>
                <w:webHidden/>
              </w:rPr>
              <w:fldChar w:fldCharType="separate"/>
            </w:r>
            <w:r>
              <w:rPr>
                <w:noProof/>
                <w:webHidden/>
              </w:rPr>
              <w:t>14</w:t>
            </w:r>
            <w:r>
              <w:rPr>
                <w:noProof/>
                <w:webHidden/>
              </w:rPr>
              <w:fldChar w:fldCharType="end"/>
            </w:r>
          </w:hyperlink>
        </w:p>
        <w:p w:rsidR="00FD69CD" w:rsidRDefault="00FD69CD">
          <w:r>
            <w:rPr>
              <w:b/>
              <w:bCs/>
            </w:rPr>
            <w:fldChar w:fldCharType="end"/>
          </w:r>
        </w:p>
      </w:sdtContent>
    </w:sdt>
    <w:p w:rsidR="008E00BB" w:rsidRDefault="008E00BB">
      <w:pPr>
        <w:rPr>
          <w:rFonts w:asciiTheme="majorHAnsi" w:eastAsiaTheme="majorEastAsia" w:hAnsiTheme="majorHAnsi" w:cstheme="majorBidi"/>
          <w:b/>
          <w:bCs/>
          <w:color w:val="365F91" w:themeColor="accent1" w:themeShade="BF"/>
          <w:sz w:val="28"/>
          <w:szCs w:val="28"/>
        </w:rPr>
      </w:pPr>
      <w:r>
        <w:br w:type="page"/>
      </w:r>
      <w:bookmarkStart w:id="0" w:name="_GoBack"/>
      <w:bookmarkEnd w:id="0"/>
    </w:p>
    <w:p w:rsidR="00487D7F" w:rsidRDefault="00487D7F" w:rsidP="00FD69CD">
      <w:pPr>
        <w:pStyle w:val="Nagwek1"/>
        <w:jc w:val="both"/>
      </w:pPr>
      <w:bookmarkStart w:id="1" w:name="_Toc369994857"/>
      <w:r>
        <w:lastRenderedPageBreak/>
        <w:t xml:space="preserve">1. </w:t>
      </w:r>
      <w:r w:rsidR="00C85638">
        <w:t>Przygotowanie</w:t>
      </w:r>
      <w:bookmarkEnd w:id="1"/>
    </w:p>
    <w:p w:rsidR="00487D7F" w:rsidRDefault="00FD69CD" w:rsidP="00FD69CD">
      <w:pPr>
        <w:pStyle w:val="Nagwek2"/>
      </w:pPr>
      <w:bookmarkStart w:id="2" w:name="_Toc369994858"/>
      <w:r>
        <w:t xml:space="preserve">1.1 </w:t>
      </w:r>
      <w:r w:rsidR="00C85638">
        <w:t>Zdefiniowanie inwentaryzacji</w:t>
      </w:r>
      <w:bookmarkEnd w:id="2"/>
      <w:r w:rsidR="00487D7F">
        <w:t xml:space="preserve"> </w:t>
      </w:r>
    </w:p>
    <w:p w:rsidR="00487D7F" w:rsidRDefault="00487D7F" w:rsidP="00FD69CD">
      <w:pPr>
        <w:pStyle w:val="Akapitzlist"/>
        <w:numPr>
          <w:ilvl w:val="0"/>
          <w:numId w:val="1"/>
        </w:numPr>
        <w:jc w:val="both"/>
      </w:pPr>
      <w:r>
        <w:t xml:space="preserve">Wybierz: Menu pełne / Obrót towarowy / </w:t>
      </w:r>
      <w:r>
        <w:t>Magazyny</w:t>
      </w:r>
      <w:r>
        <w:t xml:space="preserve"> / Dokument </w:t>
      </w:r>
      <w:r>
        <w:t>inwentaryzacji</w:t>
      </w:r>
      <w:r>
        <w:t>.</w:t>
      </w:r>
    </w:p>
    <w:p w:rsidR="00487D7F" w:rsidRDefault="00487D7F" w:rsidP="00FD69CD">
      <w:pPr>
        <w:pStyle w:val="Akapitzlist"/>
        <w:jc w:val="center"/>
      </w:pPr>
      <w:r>
        <w:rPr>
          <w:noProof/>
          <w:lang w:eastAsia="pl-PL"/>
        </w:rPr>
        <w:drawing>
          <wp:inline distT="0" distB="0" distL="0" distR="0" wp14:anchorId="115526CC" wp14:editId="0ABE2AE4">
            <wp:extent cx="5000625" cy="4513766"/>
            <wp:effectExtent l="19050" t="19050" r="9525" b="20320"/>
            <wp:docPr id="1" name="Obraz 1" descr="C:\Users\KMI.RPN\Desktop\inw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I.RPN\Desktop\inwent\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0979" cy="4514085"/>
                    </a:xfrm>
                    <a:prstGeom prst="rect">
                      <a:avLst/>
                    </a:prstGeom>
                    <a:noFill/>
                    <a:ln>
                      <a:solidFill>
                        <a:schemeClr val="accent1"/>
                      </a:solidFill>
                    </a:ln>
                  </pic:spPr>
                </pic:pic>
              </a:graphicData>
            </a:graphic>
          </wp:inline>
        </w:drawing>
      </w:r>
    </w:p>
    <w:p w:rsidR="00487D7F" w:rsidRDefault="00487D7F" w:rsidP="00FD69CD">
      <w:pPr>
        <w:pStyle w:val="Akapitzlist"/>
        <w:jc w:val="center"/>
      </w:pPr>
      <w:r>
        <w:rPr>
          <w:noProof/>
          <w:lang w:eastAsia="pl-PL"/>
        </w:rPr>
        <w:drawing>
          <wp:inline distT="0" distB="0" distL="0" distR="0" wp14:anchorId="3C802AF2" wp14:editId="1BFC4FA5">
            <wp:extent cx="5143500" cy="3074919"/>
            <wp:effectExtent l="19050" t="19050" r="19050" b="11430"/>
            <wp:docPr id="3" name="Obraz 3" descr="C:\Users\KMI.RPN\Desktop\inw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MI.RPN\Desktop\inwent\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1799" cy="3073902"/>
                    </a:xfrm>
                    <a:prstGeom prst="rect">
                      <a:avLst/>
                    </a:prstGeom>
                    <a:noFill/>
                    <a:ln>
                      <a:solidFill>
                        <a:schemeClr val="accent1"/>
                      </a:solidFill>
                    </a:ln>
                  </pic:spPr>
                </pic:pic>
              </a:graphicData>
            </a:graphic>
          </wp:inline>
        </w:drawing>
      </w:r>
    </w:p>
    <w:p w:rsidR="00487D7F" w:rsidRDefault="00487D7F" w:rsidP="00FD69CD">
      <w:pPr>
        <w:pStyle w:val="Akapitzlist"/>
        <w:numPr>
          <w:ilvl w:val="0"/>
          <w:numId w:val="1"/>
        </w:numPr>
        <w:jc w:val="both"/>
      </w:pPr>
      <w:r>
        <w:t>W otwartym dokumencie uzupełnij wszystkie dane nagłówkowe. Okno to jest kluczowe dla określenia rodzaju inwentaryzacji oraz sposobu jej prowadzenia</w:t>
      </w:r>
      <w:r w:rsidR="00B800BE">
        <w:t xml:space="preserve">. Po stworzeniu arkuszy </w:t>
      </w:r>
      <w:r w:rsidR="00B800BE">
        <w:lastRenderedPageBreak/>
        <w:t>spisowych związanych z inwentaryzacją nie będzie można zmienić założeń dotyczących sposobu inwentaryzacji.</w:t>
      </w:r>
    </w:p>
    <w:p w:rsidR="00487D7F" w:rsidRDefault="00487D7F" w:rsidP="00FD69CD">
      <w:pPr>
        <w:pStyle w:val="Akapitzlist"/>
        <w:numPr>
          <w:ilvl w:val="0"/>
          <w:numId w:val="1"/>
        </w:numPr>
        <w:jc w:val="both"/>
      </w:pPr>
      <w:r>
        <w:t>W zakładce nagłówka „Dane podstawowe”</w:t>
      </w:r>
      <w:r w:rsidR="00B800BE">
        <w:t xml:space="preserve"> uzupełnij wszystkie dane w sposób zgodny z potrzebami:</w:t>
      </w:r>
    </w:p>
    <w:p w:rsidR="00B800BE" w:rsidRDefault="00B800BE" w:rsidP="00FD69CD">
      <w:pPr>
        <w:pStyle w:val="Akapitzlist"/>
        <w:jc w:val="center"/>
      </w:pPr>
      <w:r>
        <w:rPr>
          <w:noProof/>
          <w:lang w:eastAsia="pl-PL"/>
        </w:rPr>
        <w:drawing>
          <wp:inline distT="0" distB="0" distL="0" distR="0" wp14:anchorId="39883C97" wp14:editId="3A8949EB">
            <wp:extent cx="5324475" cy="833763"/>
            <wp:effectExtent l="19050" t="19050" r="9525" b="23495"/>
            <wp:docPr id="4" name="Obraz 4" descr="C:\Users\KMI.RPN\Desktop\inwe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MI.RPN\Desktop\inwent\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2716" cy="833487"/>
                    </a:xfrm>
                    <a:prstGeom prst="rect">
                      <a:avLst/>
                    </a:prstGeom>
                    <a:noFill/>
                    <a:ln>
                      <a:solidFill>
                        <a:schemeClr val="accent1"/>
                      </a:solidFill>
                    </a:ln>
                  </pic:spPr>
                </pic:pic>
              </a:graphicData>
            </a:graphic>
          </wp:inline>
        </w:drawing>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Identyfikator </w:t>
      </w:r>
      <w:r w:rsidRPr="00B800BE">
        <w:rPr>
          <w:rFonts w:eastAsia="Times New Roman" w:cstheme="minorHAnsi"/>
          <w:color w:val="000000"/>
          <w:lang w:eastAsia="pl-PL"/>
        </w:rPr>
        <w:t xml:space="preserve">– unikalny ciąg dowolnych piętnastu znaków wprowadzony przez operatora systemu, </w:t>
      </w:r>
    </w:p>
    <w:p w:rsidR="00B800BE" w:rsidRPr="00F105CB"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Nazwa</w:t>
      </w:r>
      <w:r w:rsidRPr="00B800BE">
        <w:rPr>
          <w:rFonts w:eastAsia="Times New Roman" w:cstheme="minorHAnsi"/>
          <w:color w:val="000000"/>
          <w:lang w:eastAsia="pl-PL"/>
        </w:rPr>
        <w:t xml:space="preserve"> – ciąg znaków zawierający dodatkowe informacje opisujące inwentaryzację, </w:t>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F105CB">
        <w:rPr>
          <w:rFonts w:eastAsia="Times New Roman" w:cstheme="minorHAnsi"/>
          <w:i/>
          <w:iCs/>
          <w:color w:val="000000"/>
          <w:lang w:eastAsia="pl-PL"/>
        </w:rPr>
        <w:t xml:space="preserve">Magazyn </w:t>
      </w:r>
      <w:r w:rsidRPr="00F105CB">
        <w:rPr>
          <w:rFonts w:eastAsia="Times New Roman" w:cstheme="minorHAnsi"/>
          <w:color w:val="000000"/>
          <w:lang w:eastAsia="pl-PL"/>
        </w:rPr>
        <w:t xml:space="preserve">– identyfikator magazynu, </w:t>
      </w:r>
      <w:r w:rsidRPr="00B800BE">
        <w:rPr>
          <w:rFonts w:eastAsia="Times New Roman" w:cstheme="minorHAnsi"/>
          <w:color w:val="000000"/>
          <w:lang w:eastAsia="pl-PL"/>
        </w:rPr>
        <w:t>dla którego przeprowadzona zostanie inwentaryzacja</w:t>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Data inwentaryzacji</w:t>
      </w:r>
      <w:r w:rsidRPr="00F105CB">
        <w:rPr>
          <w:rFonts w:eastAsia="Times New Roman" w:cstheme="minorHAnsi"/>
          <w:i/>
          <w:iCs/>
          <w:color w:val="000000"/>
          <w:lang w:eastAsia="pl-PL"/>
        </w:rPr>
        <w:t xml:space="preserve"> </w:t>
      </w:r>
      <w:r w:rsidRPr="00F105CB">
        <w:rPr>
          <w:rFonts w:eastAsia="Times New Roman" w:cstheme="minorHAnsi"/>
          <w:color w:val="000000"/>
          <w:lang w:eastAsia="pl-PL"/>
        </w:rPr>
        <w:t xml:space="preserve">– </w:t>
      </w:r>
      <w:r w:rsidRPr="00B800BE">
        <w:rPr>
          <w:rFonts w:eastAsia="Times New Roman" w:cstheme="minorHAnsi"/>
          <w:color w:val="000000"/>
          <w:lang w:eastAsia="pl-PL"/>
        </w:rPr>
        <w:t xml:space="preserve">dzień na który inwentaryzacja ma być rozliczona, </w:t>
      </w:r>
    </w:p>
    <w:p w:rsidR="00B800BE" w:rsidRPr="00F105CB"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Data dokumentów magazynowych </w:t>
      </w:r>
      <w:r w:rsidRPr="00B800BE">
        <w:rPr>
          <w:rFonts w:eastAsia="Times New Roman" w:cstheme="minorHAnsi"/>
          <w:color w:val="000000"/>
          <w:lang w:eastAsia="pl-PL"/>
        </w:rPr>
        <w:t xml:space="preserve">– data, z jaką zostaną utworzone różnicowe dokumenty magazynowe wynikające z rozliczenia inwentaryzacji, </w:t>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Stan – </w:t>
      </w:r>
      <w:r w:rsidRPr="00B800BE">
        <w:rPr>
          <w:rFonts w:eastAsia="Times New Roman" w:cstheme="minorHAnsi"/>
          <w:color w:val="000000"/>
          <w:lang w:eastAsia="pl-PL"/>
        </w:rPr>
        <w:t xml:space="preserve">interpretacja daty podczas przeliczania stanów, </w:t>
      </w:r>
    </w:p>
    <w:p w:rsidR="00B800BE" w:rsidRPr="00B800BE" w:rsidRDefault="00B800BE" w:rsidP="00FD69CD">
      <w:pPr>
        <w:numPr>
          <w:ilvl w:val="1"/>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color w:val="000000"/>
          <w:lang w:eastAsia="pl-PL"/>
        </w:rPr>
        <w:t xml:space="preserve">Na początek dnia, </w:t>
      </w:r>
    </w:p>
    <w:p w:rsidR="00B800BE" w:rsidRPr="00F105CB" w:rsidRDefault="00B800BE" w:rsidP="00FD69CD">
      <w:pPr>
        <w:numPr>
          <w:ilvl w:val="1"/>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color w:val="000000"/>
          <w:lang w:eastAsia="pl-PL"/>
        </w:rPr>
        <w:t>Na koniec dni</w:t>
      </w:r>
      <w:r w:rsidRPr="00F105CB">
        <w:rPr>
          <w:rFonts w:eastAsia="Times New Roman" w:cstheme="minorHAnsi"/>
          <w:color w:val="000000"/>
          <w:lang w:eastAsia="pl-PL"/>
        </w:rPr>
        <w:t>a.</w:t>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Kategoria obrotu</w:t>
      </w:r>
      <w:r w:rsidRPr="00B800BE">
        <w:rPr>
          <w:rFonts w:eastAsia="Times New Roman" w:cstheme="minorHAnsi"/>
          <w:color w:val="000000"/>
          <w:lang w:eastAsia="pl-PL"/>
        </w:rPr>
        <w:t xml:space="preserve"> – kategoria obrotu towarów podlegających inwentaryzacji, </w:t>
      </w:r>
    </w:p>
    <w:p w:rsidR="00B800BE" w:rsidRP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Rodzaj</w:t>
      </w:r>
      <w:r w:rsidRPr="00B800BE">
        <w:rPr>
          <w:rFonts w:eastAsia="Times New Roman" w:cstheme="minorHAnsi"/>
          <w:color w:val="000000"/>
          <w:lang w:eastAsia="pl-PL"/>
        </w:rPr>
        <w:t xml:space="preserve"> – do wyboru: </w:t>
      </w:r>
    </w:p>
    <w:p w:rsidR="00B800BE" w:rsidRPr="00B800BE" w:rsidRDefault="00B800BE" w:rsidP="00FD69CD">
      <w:pPr>
        <w:numPr>
          <w:ilvl w:val="1"/>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Z blokadą </w:t>
      </w:r>
      <w:r w:rsidRPr="00B800BE">
        <w:rPr>
          <w:rFonts w:eastAsia="Times New Roman" w:cstheme="minorHAnsi"/>
          <w:color w:val="000000"/>
          <w:lang w:eastAsia="pl-PL"/>
        </w:rPr>
        <w:t xml:space="preserve">- magazyn, dla którego rozpocznie się inwentaryzacja zostanie zablokowany, nie będzie można zmienić stanów umieszczonych w nim towarów, </w:t>
      </w:r>
    </w:p>
    <w:p w:rsidR="00B800BE" w:rsidRPr="00B800BE" w:rsidRDefault="00B800BE" w:rsidP="00FD69CD">
      <w:pPr>
        <w:numPr>
          <w:ilvl w:val="1"/>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Bez blokady </w:t>
      </w:r>
      <w:r w:rsidRPr="00B800BE">
        <w:rPr>
          <w:rFonts w:eastAsia="Times New Roman" w:cstheme="minorHAnsi"/>
          <w:color w:val="000000"/>
          <w:lang w:eastAsia="pl-PL"/>
        </w:rPr>
        <w:t xml:space="preserve">- inwentaryzacja nie wprowadza żadnych ograniczeń na funkcjonowanie magazynu podczas przeprowadzania spisu (wprowadzania danych do arkuszy spisowych). Natomiast stany te blokowane na czas zatwierdzania inwentaryzacji. Zrealizowane to jest w taki sposób, że blokada jest założona w momencie dołączania pierwszego arkusza. Jeśli okazałoby się, że jednak brak wszystkich dokumentów, jakie powinny być wprowadzone przed rozliczeniem inwentaryzacji, odłączenie ostatniego arkusza powoduje zdjęcie blokady, umożliwiając tym samym wykonanie tych zmian, </w:t>
      </w:r>
    </w:p>
    <w:p w:rsidR="00B800BE" w:rsidRDefault="00B800BE" w:rsidP="00FD69CD">
      <w:pPr>
        <w:numPr>
          <w:ilvl w:val="0"/>
          <w:numId w:val="2"/>
        </w:numPr>
        <w:spacing w:before="100" w:beforeAutospacing="1" w:after="100" w:afterAutospacing="1" w:line="240" w:lineRule="auto"/>
        <w:jc w:val="both"/>
        <w:rPr>
          <w:rFonts w:eastAsia="Times New Roman" w:cstheme="minorHAnsi"/>
          <w:color w:val="000000"/>
          <w:lang w:eastAsia="pl-PL"/>
        </w:rPr>
      </w:pPr>
      <w:r w:rsidRPr="00B800BE">
        <w:rPr>
          <w:rFonts w:eastAsia="Times New Roman" w:cstheme="minorHAnsi"/>
          <w:i/>
          <w:iCs/>
          <w:color w:val="000000"/>
          <w:lang w:eastAsia="pl-PL"/>
        </w:rPr>
        <w:t xml:space="preserve">Spis na poziomie </w:t>
      </w:r>
      <w:r w:rsidRPr="00B800BE">
        <w:rPr>
          <w:rFonts w:eastAsia="Times New Roman" w:cstheme="minorHAnsi"/>
          <w:color w:val="000000"/>
          <w:lang w:eastAsia="pl-PL"/>
        </w:rPr>
        <w:t>– indeksów lub na poziomie partii; wskazanie z jaką dokładnością ma być</w:t>
      </w:r>
      <w:r w:rsidR="00F105CB">
        <w:rPr>
          <w:rFonts w:eastAsia="Times New Roman" w:cstheme="minorHAnsi"/>
          <w:color w:val="000000"/>
          <w:lang w:eastAsia="pl-PL"/>
        </w:rPr>
        <w:t xml:space="preserve"> przeprowadzona inwentaryzacja.</w:t>
      </w:r>
    </w:p>
    <w:p w:rsidR="00F105CB" w:rsidRDefault="00F105CB" w:rsidP="00FD69CD">
      <w:pPr>
        <w:pStyle w:val="Akapitzlist"/>
        <w:numPr>
          <w:ilvl w:val="0"/>
          <w:numId w:val="1"/>
        </w:numPr>
        <w:spacing w:before="100" w:beforeAutospacing="1" w:after="100" w:afterAutospacing="1" w:line="240" w:lineRule="auto"/>
        <w:jc w:val="both"/>
        <w:rPr>
          <w:rFonts w:eastAsia="Times New Roman" w:cstheme="minorHAnsi"/>
          <w:color w:val="000000"/>
          <w:lang w:eastAsia="pl-PL"/>
        </w:rPr>
      </w:pPr>
      <w:r>
        <w:rPr>
          <w:rFonts w:eastAsia="Times New Roman" w:cstheme="minorHAnsi"/>
          <w:color w:val="000000"/>
          <w:lang w:eastAsia="pl-PL"/>
        </w:rPr>
        <w:t xml:space="preserve">Uzupełnij wszystkie dane nagłówkowe w zakładce „Pozostałe dane” </w:t>
      </w:r>
    </w:p>
    <w:p w:rsidR="00F105CB" w:rsidRDefault="00F105CB" w:rsidP="00FD69CD">
      <w:pPr>
        <w:pStyle w:val="Akapitzlist"/>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3FE586C6" wp14:editId="637041EE">
            <wp:extent cx="5286375" cy="859232"/>
            <wp:effectExtent l="19050" t="19050" r="9525" b="17145"/>
            <wp:docPr id="5" name="Obraz 5" descr="C:\Users\KMI.RPN\Desktop\inwen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MI.RPN\Desktop\inwent\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2691" cy="861884"/>
                    </a:xfrm>
                    <a:prstGeom prst="rect">
                      <a:avLst/>
                    </a:prstGeom>
                    <a:noFill/>
                    <a:ln>
                      <a:solidFill>
                        <a:schemeClr val="accent1"/>
                      </a:solidFill>
                    </a:ln>
                  </pic:spPr>
                </pic:pic>
              </a:graphicData>
            </a:graphic>
          </wp:inline>
        </w:drawing>
      </w:r>
    </w:p>
    <w:p w:rsidR="00F105CB" w:rsidRPr="00F105CB" w:rsidRDefault="00F105CB" w:rsidP="00FD69CD">
      <w:pPr>
        <w:numPr>
          <w:ilvl w:val="0"/>
          <w:numId w:val="3"/>
        </w:numPr>
        <w:spacing w:before="100" w:beforeAutospacing="1" w:after="100" w:afterAutospacing="1" w:line="240" w:lineRule="auto"/>
        <w:jc w:val="both"/>
        <w:rPr>
          <w:rFonts w:eastAsia="Times New Roman" w:cstheme="minorHAnsi"/>
          <w:color w:val="000000"/>
          <w:lang w:eastAsia="pl-PL"/>
        </w:rPr>
      </w:pPr>
      <w:r w:rsidRPr="00F105CB">
        <w:rPr>
          <w:rFonts w:eastAsia="Times New Roman" w:cstheme="minorHAnsi"/>
          <w:color w:val="000000"/>
          <w:lang w:eastAsia="pl-PL"/>
        </w:rPr>
        <w:t>Grupa</w:t>
      </w:r>
      <w:r w:rsidRPr="00F105CB">
        <w:rPr>
          <w:rFonts w:eastAsia="Times New Roman" w:cstheme="minorHAnsi"/>
          <w:i/>
          <w:iCs/>
          <w:color w:val="000000"/>
          <w:lang w:eastAsia="pl-PL"/>
        </w:rPr>
        <w:t xml:space="preserve"> Użytkownik: </w:t>
      </w:r>
      <w:r w:rsidRPr="00F105CB">
        <w:rPr>
          <w:rFonts w:eastAsia="Times New Roman" w:cstheme="minorHAnsi"/>
          <w:color w:val="000000"/>
          <w:lang w:eastAsia="pl-PL"/>
        </w:rPr>
        <w:t xml:space="preserve">– identyfikatory osób odpowiedzialnych za uruchomienie i przeprowadzenie inwentaryzacji, </w:t>
      </w:r>
    </w:p>
    <w:p w:rsidR="00F105CB" w:rsidRPr="00C85638" w:rsidRDefault="00F105CB" w:rsidP="00FD69CD">
      <w:pPr>
        <w:numPr>
          <w:ilvl w:val="0"/>
          <w:numId w:val="3"/>
        </w:numPr>
        <w:spacing w:before="100" w:beforeAutospacing="1" w:after="100" w:afterAutospacing="1" w:line="240" w:lineRule="auto"/>
        <w:jc w:val="both"/>
        <w:rPr>
          <w:rFonts w:eastAsia="Times New Roman" w:cstheme="minorHAnsi"/>
          <w:color w:val="000000"/>
          <w:lang w:eastAsia="pl-PL"/>
        </w:rPr>
      </w:pPr>
      <w:r w:rsidRPr="00F105CB">
        <w:rPr>
          <w:rFonts w:eastAsia="Times New Roman" w:cstheme="minorHAnsi"/>
          <w:color w:val="000000"/>
          <w:lang w:eastAsia="pl-PL"/>
        </w:rPr>
        <w:t xml:space="preserve">Grupa </w:t>
      </w:r>
      <w:r w:rsidRPr="00F105CB">
        <w:rPr>
          <w:rFonts w:eastAsia="Times New Roman" w:cstheme="minorHAnsi"/>
          <w:i/>
          <w:iCs/>
          <w:color w:val="000000"/>
          <w:lang w:eastAsia="pl-PL"/>
        </w:rPr>
        <w:t>Typ dokumentu</w:t>
      </w:r>
      <w:r w:rsidRPr="00F105CB">
        <w:rPr>
          <w:rFonts w:eastAsia="Times New Roman" w:cstheme="minorHAnsi"/>
          <w:color w:val="000000"/>
          <w:lang w:eastAsia="pl-PL"/>
        </w:rPr>
        <w:t xml:space="preserve"> – identyfikatory typów dokumentów magazynowych, które zostaną automatycznie wygenerowane po zliczeniu towarów w magazynie </w:t>
      </w:r>
    </w:p>
    <w:p w:rsidR="00F105CB" w:rsidRPr="00C85638" w:rsidRDefault="00F105CB" w:rsidP="00FD69CD">
      <w:pPr>
        <w:numPr>
          <w:ilvl w:val="0"/>
          <w:numId w:val="3"/>
        </w:numPr>
        <w:spacing w:before="100" w:beforeAutospacing="1" w:after="100" w:afterAutospacing="1" w:line="240" w:lineRule="auto"/>
        <w:jc w:val="both"/>
        <w:rPr>
          <w:rFonts w:eastAsia="Times New Roman" w:cstheme="minorHAnsi"/>
          <w:color w:val="000000"/>
          <w:lang w:eastAsia="pl-PL"/>
        </w:rPr>
      </w:pPr>
      <w:r w:rsidRPr="00F105CB">
        <w:rPr>
          <w:rFonts w:eastAsia="Times New Roman" w:cstheme="minorHAnsi"/>
          <w:i/>
          <w:iCs/>
          <w:color w:val="000000"/>
          <w:lang w:eastAsia="pl-PL"/>
        </w:rPr>
        <w:t>Wycena przychodu</w:t>
      </w:r>
      <w:r w:rsidRPr="00F105CB">
        <w:rPr>
          <w:rFonts w:eastAsia="Times New Roman" w:cstheme="minorHAnsi"/>
          <w:color w:val="000000"/>
          <w:lang w:eastAsia="pl-PL"/>
        </w:rPr>
        <w:t xml:space="preserve"> –definiuje sposób wyliczenia ceny przyjmowanego dokumentem nadwy</w:t>
      </w:r>
      <w:r w:rsidRPr="00C85638">
        <w:rPr>
          <w:rFonts w:eastAsia="Times New Roman" w:cstheme="minorHAnsi"/>
          <w:color w:val="000000"/>
          <w:lang w:eastAsia="pl-PL"/>
        </w:rPr>
        <w:t>ż</w:t>
      </w:r>
      <w:r w:rsidRPr="00F105CB">
        <w:rPr>
          <w:rFonts w:eastAsia="Times New Roman" w:cstheme="minorHAnsi"/>
          <w:color w:val="000000"/>
          <w:lang w:eastAsia="pl-PL"/>
        </w:rPr>
        <w:t xml:space="preserve">ki towaru na podstawie dotychczasowych cen. Towar domyślnie można przyjąć </w:t>
      </w:r>
      <w:r w:rsidRPr="00F105CB">
        <w:rPr>
          <w:rFonts w:eastAsia="Times New Roman" w:cstheme="minorHAnsi"/>
          <w:color w:val="000000"/>
          <w:lang w:eastAsia="pl-PL"/>
        </w:rPr>
        <w:lastRenderedPageBreak/>
        <w:t xml:space="preserve">po cenie </w:t>
      </w:r>
      <w:r w:rsidRPr="00F105CB">
        <w:rPr>
          <w:rFonts w:eastAsia="Times New Roman" w:cstheme="minorHAnsi"/>
          <w:i/>
          <w:iCs/>
          <w:color w:val="000000"/>
          <w:lang w:eastAsia="pl-PL"/>
        </w:rPr>
        <w:t xml:space="preserve">Średniej, Najwyższej </w:t>
      </w:r>
      <w:r w:rsidRPr="00F105CB">
        <w:rPr>
          <w:rFonts w:eastAsia="Times New Roman" w:cstheme="minorHAnsi"/>
          <w:color w:val="000000"/>
          <w:lang w:eastAsia="pl-PL"/>
        </w:rPr>
        <w:t xml:space="preserve">lub </w:t>
      </w:r>
      <w:r w:rsidRPr="00F105CB">
        <w:rPr>
          <w:rFonts w:eastAsia="Times New Roman" w:cstheme="minorHAnsi"/>
          <w:i/>
          <w:iCs/>
          <w:color w:val="000000"/>
          <w:lang w:eastAsia="pl-PL"/>
        </w:rPr>
        <w:t>Najniższej.</w:t>
      </w:r>
      <w:r w:rsidRPr="00F105CB">
        <w:rPr>
          <w:rFonts w:eastAsia="Times New Roman" w:cstheme="minorHAnsi"/>
          <w:color w:val="000000"/>
          <w:lang w:eastAsia="pl-PL"/>
        </w:rPr>
        <w:t xml:space="preserve"> Cenę tę można zmienić w utworzonym dokumencie mag</w:t>
      </w:r>
      <w:r w:rsidRPr="00C85638">
        <w:rPr>
          <w:rFonts w:eastAsia="Times New Roman" w:cstheme="minorHAnsi"/>
          <w:color w:val="000000"/>
          <w:lang w:eastAsia="pl-PL"/>
        </w:rPr>
        <w:t>a</w:t>
      </w:r>
      <w:r w:rsidRPr="00F105CB">
        <w:rPr>
          <w:rFonts w:eastAsia="Times New Roman" w:cstheme="minorHAnsi"/>
          <w:color w:val="000000"/>
          <w:lang w:eastAsia="pl-PL"/>
        </w:rPr>
        <w:t xml:space="preserve">zynowym, </w:t>
      </w:r>
    </w:p>
    <w:p w:rsidR="00C85638" w:rsidRPr="00F105CB" w:rsidRDefault="00C85638" w:rsidP="00FD69CD">
      <w:pPr>
        <w:numPr>
          <w:ilvl w:val="0"/>
          <w:numId w:val="3"/>
        </w:numPr>
        <w:spacing w:before="100" w:beforeAutospacing="1" w:after="100" w:afterAutospacing="1" w:line="240" w:lineRule="auto"/>
        <w:jc w:val="both"/>
        <w:rPr>
          <w:rFonts w:eastAsia="Times New Roman" w:cstheme="minorHAnsi"/>
          <w:color w:val="000000"/>
          <w:lang w:eastAsia="pl-PL"/>
        </w:rPr>
      </w:pPr>
      <w:r w:rsidRPr="00C85638">
        <w:rPr>
          <w:rFonts w:eastAsia="Times New Roman" w:cstheme="minorHAnsi"/>
          <w:i/>
          <w:iCs/>
          <w:color w:val="000000"/>
          <w:lang w:eastAsia="pl-PL"/>
        </w:rPr>
        <w:t xml:space="preserve">Zasięg </w:t>
      </w:r>
      <w:r w:rsidRPr="00C85638">
        <w:rPr>
          <w:rFonts w:eastAsia="Times New Roman" w:cstheme="minorHAnsi"/>
          <w:color w:val="000000"/>
          <w:lang w:eastAsia="pl-PL"/>
        </w:rPr>
        <w:t xml:space="preserve">– określenie zasięgu inwentaryzacji. </w:t>
      </w:r>
      <w:r w:rsidRPr="00C85638">
        <w:rPr>
          <w:rFonts w:eastAsia="Times New Roman" w:cstheme="minorHAnsi"/>
          <w:i/>
          <w:color w:val="000000"/>
          <w:lang w:eastAsia="pl-PL"/>
        </w:rPr>
        <w:t>Cały magazyn</w:t>
      </w:r>
      <w:r w:rsidRPr="00C85638">
        <w:rPr>
          <w:rFonts w:eastAsia="Times New Roman" w:cstheme="minorHAnsi"/>
          <w:color w:val="000000"/>
          <w:lang w:eastAsia="pl-PL"/>
        </w:rPr>
        <w:t xml:space="preserve"> w przypadku inwentaryzacji całego magazynu, lub </w:t>
      </w:r>
      <w:r w:rsidRPr="00C85638">
        <w:rPr>
          <w:rFonts w:eastAsia="Times New Roman" w:cstheme="minorHAnsi"/>
          <w:i/>
          <w:color w:val="000000"/>
          <w:lang w:eastAsia="pl-PL"/>
        </w:rPr>
        <w:t>Wybrane indeksy</w:t>
      </w:r>
      <w:r w:rsidRPr="00C85638">
        <w:rPr>
          <w:rFonts w:eastAsia="Times New Roman" w:cstheme="minorHAnsi"/>
          <w:color w:val="000000"/>
          <w:lang w:eastAsia="pl-PL"/>
        </w:rPr>
        <w:t xml:space="preserve"> w przypadku inwentaryzacji części magazynu.</w:t>
      </w:r>
    </w:p>
    <w:p w:rsidR="00F105CB" w:rsidRDefault="00F105CB" w:rsidP="00FD69CD">
      <w:pPr>
        <w:numPr>
          <w:ilvl w:val="0"/>
          <w:numId w:val="3"/>
        </w:numPr>
        <w:spacing w:before="100" w:beforeAutospacing="1" w:after="100" w:afterAutospacing="1" w:line="240" w:lineRule="auto"/>
        <w:jc w:val="both"/>
        <w:rPr>
          <w:rFonts w:eastAsia="Times New Roman" w:cstheme="minorHAnsi"/>
          <w:color w:val="000000"/>
          <w:lang w:eastAsia="pl-PL"/>
        </w:rPr>
      </w:pPr>
      <w:r w:rsidRPr="00F105CB">
        <w:rPr>
          <w:rFonts w:eastAsia="Times New Roman" w:cstheme="minorHAnsi"/>
          <w:i/>
          <w:iCs/>
          <w:color w:val="000000"/>
          <w:lang w:eastAsia="pl-PL"/>
        </w:rPr>
        <w:t xml:space="preserve">Zatwierdzać różnice inwentaryzacyjne </w:t>
      </w:r>
      <w:r w:rsidRPr="00F105CB">
        <w:rPr>
          <w:rFonts w:eastAsia="Times New Roman" w:cstheme="minorHAnsi"/>
          <w:color w:val="000000"/>
          <w:lang w:eastAsia="pl-PL"/>
        </w:rPr>
        <w:t xml:space="preserve">- pole wyboru określające, czy generowane podczas zatwierdzania inwentaryzacji dokumenty różnicowe mają być automatycznie zatwierdzane. Ustawienie nie jest zalecane, jeśli cena przyjęta w nadwyżkach powinna być skontrolowana lub zmieniona. </w:t>
      </w:r>
    </w:p>
    <w:p w:rsidR="00590B95" w:rsidRDefault="00590B95">
      <w:pPr>
        <w:rPr>
          <w:rFonts w:asciiTheme="majorHAnsi" w:eastAsiaTheme="majorEastAsia" w:hAnsiTheme="majorHAnsi" w:cstheme="majorBidi"/>
          <w:b/>
          <w:bCs/>
          <w:color w:val="4F81BD" w:themeColor="accent1"/>
          <w:sz w:val="26"/>
          <w:szCs w:val="26"/>
        </w:rPr>
      </w:pPr>
      <w:r>
        <w:br w:type="page"/>
      </w:r>
    </w:p>
    <w:p w:rsidR="0009228A" w:rsidRDefault="008E00BB" w:rsidP="008E00BB">
      <w:pPr>
        <w:pStyle w:val="Nagwek2"/>
      </w:pPr>
      <w:bookmarkStart w:id="3" w:name="_Toc369994859"/>
      <w:r>
        <w:lastRenderedPageBreak/>
        <w:t xml:space="preserve">1.2 </w:t>
      </w:r>
      <w:r w:rsidR="0009228A">
        <w:t>Przygotowanie arkuszy spisowych.</w:t>
      </w:r>
      <w:bookmarkEnd w:id="3"/>
      <w:r w:rsidR="0009228A">
        <w:t xml:space="preserve"> </w:t>
      </w:r>
    </w:p>
    <w:p w:rsidR="0009228A" w:rsidRDefault="0009228A" w:rsidP="00FD69CD">
      <w:pPr>
        <w:pStyle w:val="Akapitzlist"/>
        <w:numPr>
          <w:ilvl w:val="0"/>
          <w:numId w:val="5"/>
        </w:numPr>
        <w:jc w:val="both"/>
      </w:pPr>
      <w:r>
        <w:t xml:space="preserve">Wybierz: Menu pełne / Obrót towarowy / Magazyny / </w:t>
      </w:r>
      <w:r w:rsidR="00A144A9">
        <w:t>Arkusze</w:t>
      </w:r>
      <w:r>
        <w:t xml:space="preserve"> inwentaryzacji.</w:t>
      </w:r>
    </w:p>
    <w:p w:rsidR="00F105CB" w:rsidRDefault="00A144A9" w:rsidP="00FD69CD">
      <w:pPr>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649E25CB" wp14:editId="221CD0E3">
            <wp:extent cx="5286375" cy="4547325"/>
            <wp:effectExtent l="19050" t="19050" r="9525" b="24765"/>
            <wp:docPr id="6" name="Obraz 6" descr="C:\Users\KMI.RPN\Desktop\inwe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MI.RPN\Desktop\inwent\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3060" cy="4553075"/>
                    </a:xfrm>
                    <a:prstGeom prst="rect">
                      <a:avLst/>
                    </a:prstGeom>
                    <a:noFill/>
                    <a:ln>
                      <a:solidFill>
                        <a:schemeClr val="accent1"/>
                      </a:solidFill>
                    </a:ln>
                  </pic:spPr>
                </pic:pic>
              </a:graphicData>
            </a:graphic>
          </wp:inline>
        </w:drawing>
      </w:r>
    </w:p>
    <w:p w:rsidR="00A144A9" w:rsidRDefault="00A144A9" w:rsidP="00FD69CD">
      <w:pPr>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46865CC5" wp14:editId="2BA1D646">
            <wp:extent cx="5432426" cy="3314700"/>
            <wp:effectExtent l="19050" t="19050" r="15875" b="19050"/>
            <wp:docPr id="7" name="Obraz 7" descr="C:\Users\KMI.RPN\Desktop\inwen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MI.RPN\Desktop\inwent\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4550" cy="3315996"/>
                    </a:xfrm>
                    <a:prstGeom prst="rect">
                      <a:avLst/>
                    </a:prstGeom>
                    <a:noFill/>
                    <a:ln>
                      <a:solidFill>
                        <a:schemeClr val="accent1"/>
                      </a:solidFill>
                    </a:ln>
                  </pic:spPr>
                </pic:pic>
              </a:graphicData>
            </a:graphic>
          </wp:inline>
        </w:drawing>
      </w:r>
    </w:p>
    <w:p w:rsidR="00A144A9" w:rsidRPr="00A144A9" w:rsidRDefault="00A144A9" w:rsidP="00FD69CD">
      <w:pPr>
        <w:pStyle w:val="body-text"/>
        <w:numPr>
          <w:ilvl w:val="0"/>
          <w:numId w:val="5"/>
        </w:numPr>
        <w:jc w:val="both"/>
        <w:rPr>
          <w:rFonts w:asciiTheme="minorHAnsi" w:hAnsiTheme="minorHAnsi" w:cstheme="minorHAnsi"/>
          <w:sz w:val="22"/>
          <w:szCs w:val="22"/>
        </w:rPr>
      </w:pPr>
      <w:r w:rsidRPr="00A144A9">
        <w:rPr>
          <w:rFonts w:asciiTheme="minorHAnsi" w:hAnsiTheme="minorHAnsi" w:cstheme="minorHAnsi"/>
          <w:sz w:val="22"/>
          <w:szCs w:val="22"/>
        </w:rPr>
        <w:lastRenderedPageBreak/>
        <w:t>Arkusz inwentaryzacji jest podstawowym formularzem,</w:t>
      </w:r>
      <w:r w:rsidRPr="00A144A9">
        <w:rPr>
          <w:rFonts w:asciiTheme="minorHAnsi" w:hAnsiTheme="minorHAnsi" w:cstheme="minorHAnsi"/>
          <w:sz w:val="22"/>
          <w:szCs w:val="22"/>
        </w:rPr>
        <w:t xml:space="preserve"> </w:t>
      </w:r>
      <w:r w:rsidRPr="00A144A9">
        <w:rPr>
          <w:rFonts w:asciiTheme="minorHAnsi" w:hAnsiTheme="minorHAnsi" w:cstheme="minorHAnsi"/>
          <w:sz w:val="22"/>
          <w:szCs w:val="22"/>
        </w:rPr>
        <w:t xml:space="preserve">w którym odbywa się wpisywanie wyników zliczania towarów podczas przeprowadzanej inwentaryzacji. Do każdej inwentaryzacji może być dołączony jeden lub wiele arkuszy spisowych. Na podstawie zapisów w pozycjach arkuszy tworzone są automatycznie pozycje dokumentu inwentaryzacji. </w:t>
      </w:r>
    </w:p>
    <w:p w:rsidR="00B800BE" w:rsidRDefault="00A144A9" w:rsidP="00FD69CD">
      <w:pPr>
        <w:pStyle w:val="Akapitzlist"/>
        <w:numPr>
          <w:ilvl w:val="0"/>
          <w:numId w:val="5"/>
        </w:numPr>
        <w:jc w:val="both"/>
        <w:rPr>
          <w:rFonts w:cstheme="minorHAnsi"/>
        </w:rPr>
      </w:pPr>
      <w:r>
        <w:rPr>
          <w:rFonts w:cstheme="minorHAnsi"/>
        </w:rPr>
        <w:t>Uzupełnij dane nagłówkowe dokumentu.</w:t>
      </w:r>
    </w:p>
    <w:p w:rsidR="00A144A9" w:rsidRDefault="00A144A9" w:rsidP="00FD69CD">
      <w:pPr>
        <w:pStyle w:val="Akapitzlist"/>
        <w:jc w:val="center"/>
        <w:rPr>
          <w:rFonts w:cstheme="minorHAnsi"/>
        </w:rPr>
      </w:pPr>
      <w:r>
        <w:rPr>
          <w:rFonts w:cstheme="minorHAnsi"/>
          <w:noProof/>
          <w:lang w:eastAsia="pl-PL"/>
        </w:rPr>
        <w:drawing>
          <wp:inline distT="0" distB="0" distL="0" distR="0" wp14:anchorId="7AA5F3B3" wp14:editId="4B8303AD">
            <wp:extent cx="5314950" cy="617151"/>
            <wp:effectExtent l="19050" t="19050" r="19050" b="12065"/>
            <wp:docPr id="8" name="Obraz 8" descr="C:\Users\KMI.RPN\Desktop\inwen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MI.RPN\Desktop\inwent\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2184" cy="619152"/>
                    </a:xfrm>
                    <a:prstGeom prst="rect">
                      <a:avLst/>
                    </a:prstGeom>
                    <a:noFill/>
                    <a:ln>
                      <a:solidFill>
                        <a:schemeClr val="accent1"/>
                      </a:solidFill>
                    </a:ln>
                  </pic:spPr>
                </pic:pic>
              </a:graphicData>
            </a:graphic>
          </wp:inline>
        </w:drawing>
      </w:r>
    </w:p>
    <w:p w:rsidR="00A144A9" w:rsidRPr="00A144A9" w:rsidRDefault="00A144A9" w:rsidP="00FD69CD">
      <w:pPr>
        <w:numPr>
          <w:ilvl w:val="0"/>
          <w:numId w:val="6"/>
        </w:numPr>
        <w:spacing w:before="100" w:beforeAutospacing="1" w:after="100" w:afterAutospacing="1" w:line="240" w:lineRule="auto"/>
        <w:jc w:val="both"/>
        <w:rPr>
          <w:rFonts w:eastAsia="Times New Roman" w:cstheme="minorHAnsi"/>
          <w:color w:val="000000"/>
          <w:lang w:eastAsia="pl-PL"/>
        </w:rPr>
      </w:pPr>
      <w:r w:rsidRPr="00A144A9">
        <w:rPr>
          <w:rFonts w:eastAsia="Times New Roman" w:cstheme="minorHAnsi"/>
          <w:i/>
          <w:iCs/>
          <w:color w:val="000000"/>
          <w:lang w:eastAsia="pl-PL"/>
        </w:rPr>
        <w:t>Inwentaryzacja</w:t>
      </w:r>
      <w:r w:rsidRPr="00A144A9">
        <w:rPr>
          <w:rFonts w:eastAsia="Times New Roman" w:cstheme="minorHAnsi"/>
          <w:color w:val="000000"/>
          <w:lang w:eastAsia="pl-PL"/>
        </w:rPr>
        <w:t xml:space="preserve"> – wskazanie, z którą inwentaryzacją będzie związany arkusz, </w:t>
      </w:r>
    </w:p>
    <w:p w:rsidR="00A144A9" w:rsidRPr="00A144A9" w:rsidRDefault="00A144A9" w:rsidP="00FD69CD">
      <w:pPr>
        <w:numPr>
          <w:ilvl w:val="0"/>
          <w:numId w:val="6"/>
        </w:numPr>
        <w:spacing w:before="100" w:beforeAutospacing="1" w:after="100" w:afterAutospacing="1" w:line="240" w:lineRule="auto"/>
        <w:jc w:val="both"/>
        <w:rPr>
          <w:rFonts w:eastAsia="Times New Roman" w:cstheme="minorHAnsi"/>
          <w:color w:val="000000"/>
          <w:lang w:eastAsia="pl-PL"/>
        </w:rPr>
      </w:pPr>
      <w:r w:rsidRPr="00A144A9">
        <w:rPr>
          <w:rFonts w:eastAsia="Times New Roman" w:cstheme="minorHAnsi"/>
          <w:i/>
          <w:iCs/>
          <w:color w:val="000000"/>
          <w:lang w:eastAsia="pl-PL"/>
        </w:rPr>
        <w:t xml:space="preserve">Identyfikator </w:t>
      </w:r>
      <w:r w:rsidRPr="00A144A9">
        <w:rPr>
          <w:rFonts w:eastAsia="Times New Roman" w:cstheme="minorHAnsi"/>
          <w:color w:val="000000"/>
          <w:lang w:eastAsia="pl-PL"/>
        </w:rPr>
        <w:t xml:space="preserve">– unikalny identyfikator arkusza inwentaryzacji, </w:t>
      </w:r>
      <w:r w:rsidR="00AC1CD3" w:rsidRPr="00AC1CD3">
        <w:rPr>
          <w:rFonts w:eastAsia="Times New Roman" w:cstheme="minorHAnsi"/>
          <w:color w:val="000000"/>
          <w:lang w:eastAsia="pl-PL"/>
        </w:rPr>
        <w:t>wraz z opisem arkusza</w:t>
      </w:r>
    </w:p>
    <w:p w:rsidR="00A144A9" w:rsidRPr="00A144A9" w:rsidRDefault="00A144A9" w:rsidP="00FD69CD">
      <w:pPr>
        <w:numPr>
          <w:ilvl w:val="0"/>
          <w:numId w:val="6"/>
        </w:numPr>
        <w:spacing w:before="100" w:beforeAutospacing="1" w:after="100" w:afterAutospacing="1" w:line="240" w:lineRule="auto"/>
        <w:jc w:val="both"/>
        <w:rPr>
          <w:rFonts w:eastAsia="Times New Roman" w:cstheme="minorHAnsi"/>
          <w:color w:val="000000"/>
          <w:lang w:eastAsia="pl-PL"/>
        </w:rPr>
      </w:pPr>
      <w:r w:rsidRPr="00A144A9">
        <w:rPr>
          <w:rFonts w:eastAsia="Times New Roman" w:cstheme="minorHAnsi"/>
          <w:i/>
          <w:iCs/>
          <w:color w:val="000000"/>
          <w:lang w:eastAsia="pl-PL"/>
        </w:rPr>
        <w:t xml:space="preserve">Data zliczenia </w:t>
      </w:r>
      <w:r w:rsidRPr="00A144A9">
        <w:rPr>
          <w:rFonts w:eastAsia="Times New Roman" w:cstheme="minorHAnsi"/>
          <w:color w:val="000000"/>
          <w:lang w:eastAsia="pl-PL"/>
        </w:rPr>
        <w:t xml:space="preserve">– domyślna data z jaką zostaną zapisane pozycje arkusza, dla konkretnych pozycji data ta może być zmieniona, </w:t>
      </w:r>
    </w:p>
    <w:p w:rsidR="00A144A9" w:rsidRDefault="00A144A9" w:rsidP="00FD69CD">
      <w:pPr>
        <w:numPr>
          <w:ilvl w:val="0"/>
          <w:numId w:val="6"/>
        </w:numPr>
        <w:spacing w:before="100" w:beforeAutospacing="1" w:after="100" w:afterAutospacing="1" w:line="240" w:lineRule="auto"/>
        <w:jc w:val="both"/>
        <w:rPr>
          <w:rFonts w:eastAsia="Times New Roman" w:cstheme="minorHAnsi"/>
          <w:color w:val="000000"/>
          <w:lang w:eastAsia="pl-PL"/>
        </w:rPr>
      </w:pPr>
      <w:r w:rsidRPr="00A144A9">
        <w:rPr>
          <w:rFonts w:eastAsia="Times New Roman" w:cstheme="minorHAnsi"/>
          <w:i/>
          <w:iCs/>
          <w:color w:val="000000"/>
          <w:lang w:eastAsia="pl-PL"/>
        </w:rPr>
        <w:t xml:space="preserve">Przeprowadził – </w:t>
      </w:r>
      <w:r w:rsidRPr="00A144A9">
        <w:rPr>
          <w:rFonts w:eastAsia="Times New Roman" w:cstheme="minorHAnsi"/>
          <w:color w:val="000000"/>
          <w:lang w:eastAsia="pl-PL"/>
        </w:rPr>
        <w:t>identyfikator p</w:t>
      </w:r>
      <w:r w:rsidR="00AC1CD3" w:rsidRPr="00AC1CD3">
        <w:rPr>
          <w:rFonts w:eastAsia="Times New Roman" w:cstheme="minorHAnsi"/>
          <w:color w:val="000000"/>
          <w:lang w:eastAsia="pl-PL"/>
        </w:rPr>
        <w:t>racownika, który prowadził spis.</w:t>
      </w:r>
      <w:r w:rsidRPr="00A144A9">
        <w:rPr>
          <w:rFonts w:eastAsia="Times New Roman" w:cstheme="minorHAnsi"/>
          <w:color w:val="000000"/>
          <w:lang w:eastAsia="pl-PL"/>
        </w:rPr>
        <w:t xml:space="preserve"> </w:t>
      </w:r>
    </w:p>
    <w:p w:rsidR="00AC1CD3" w:rsidRDefault="00AC1CD3" w:rsidP="00FD69CD">
      <w:pPr>
        <w:pStyle w:val="Akapitzlist"/>
        <w:numPr>
          <w:ilvl w:val="0"/>
          <w:numId w:val="5"/>
        </w:numPr>
        <w:spacing w:before="100" w:beforeAutospacing="1" w:after="100" w:afterAutospacing="1" w:line="240" w:lineRule="auto"/>
        <w:jc w:val="both"/>
        <w:rPr>
          <w:rFonts w:eastAsia="Times New Roman" w:cstheme="minorHAnsi"/>
          <w:color w:val="000000"/>
          <w:lang w:eastAsia="pl-PL"/>
        </w:rPr>
      </w:pPr>
      <w:r>
        <w:rPr>
          <w:rFonts w:eastAsia="Times New Roman" w:cstheme="minorHAnsi"/>
          <w:color w:val="000000"/>
          <w:lang w:eastAsia="pl-PL"/>
        </w:rPr>
        <w:t>Po uzupełnieniu danych nagłówkowych dodaj indeksy, które mają być zawarte na arkuszu spisowym. W obszarze pozycji dokumentu kliknij prawym klawiszem myszy i wybierz Dodaj /Pozycje.</w:t>
      </w:r>
    </w:p>
    <w:p w:rsidR="00AC1CD3" w:rsidRDefault="00AC1CD3" w:rsidP="00FD69CD">
      <w:pPr>
        <w:pStyle w:val="Akapitzlist"/>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7C30E22E" wp14:editId="7A61F2D9">
            <wp:extent cx="5314950" cy="3229203"/>
            <wp:effectExtent l="19050" t="19050" r="19050" b="28575"/>
            <wp:docPr id="9" name="Obraz 9" descr="C:\Users\KMI.RPN\Desktop\inwen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MI.RPN\Desktop\inwent\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1585" cy="3233234"/>
                    </a:xfrm>
                    <a:prstGeom prst="rect">
                      <a:avLst/>
                    </a:prstGeom>
                    <a:noFill/>
                    <a:ln>
                      <a:solidFill>
                        <a:schemeClr val="accent1"/>
                      </a:solidFill>
                    </a:ln>
                  </pic:spPr>
                </pic:pic>
              </a:graphicData>
            </a:graphic>
          </wp:inline>
        </w:drawing>
      </w:r>
    </w:p>
    <w:p w:rsidR="00590B95" w:rsidRDefault="00590B95">
      <w:pPr>
        <w:rPr>
          <w:rFonts w:eastAsia="Times New Roman" w:cstheme="minorHAnsi"/>
          <w:color w:val="000000"/>
          <w:lang w:eastAsia="pl-PL"/>
        </w:rPr>
      </w:pPr>
      <w:r>
        <w:rPr>
          <w:rFonts w:eastAsia="Times New Roman" w:cstheme="minorHAnsi"/>
          <w:color w:val="000000"/>
          <w:lang w:eastAsia="pl-PL"/>
        </w:rPr>
        <w:br w:type="page"/>
      </w:r>
    </w:p>
    <w:p w:rsidR="00590B95" w:rsidRDefault="00590B95" w:rsidP="00590B95">
      <w:pPr>
        <w:pStyle w:val="Akapitzlist"/>
        <w:spacing w:before="100" w:beforeAutospacing="1" w:after="100" w:afterAutospacing="1" w:line="240" w:lineRule="auto"/>
        <w:jc w:val="both"/>
        <w:rPr>
          <w:rFonts w:eastAsia="Times New Roman" w:cstheme="minorHAnsi"/>
          <w:color w:val="000000"/>
          <w:lang w:eastAsia="pl-PL"/>
        </w:rPr>
      </w:pPr>
    </w:p>
    <w:p w:rsidR="00AC1CD3" w:rsidRDefault="00AC1CD3" w:rsidP="00FD69CD">
      <w:pPr>
        <w:pStyle w:val="Akapitzlist"/>
        <w:numPr>
          <w:ilvl w:val="0"/>
          <w:numId w:val="5"/>
        </w:numPr>
        <w:spacing w:before="100" w:beforeAutospacing="1" w:after="100" w:afterAutospacing="1" w:line="240" w:lineRule="auto"/>
        <w:jc w:val="both"/>
        <w:rPr>
          <w:rFonts w:eastAsia="Times New Roman" w:cstheme="minorHAnsi"/>
          <w:color w:val="000000"/>
          <w:lang w:eastAsia="pl-PL"/>
        </w:rPr>
      </w:pPr>
      <w:r>
        <w:rPr>
          <w:rFonts w:eastAsia="Times New Roman" w:cstheme="minorHAnsi"/>
          <w:color w:val="000000"/>
          <w:lang w:eastAsia="pl-PL"/>
        </w:rPr>
        <w:t>Rozwiń pole z listą produktów.</w:t>
      </w:r>
    </w:p>
    <w:p w:rsidR="00AC1CD3" w:rsidRDefault="00AC1CD3" w:rsidP="00FD69CD">
      <w:pPr>
        <w:pStyle w:val="Akapitzlist"/>
        <w:spacing w:before="100" w:beforeAutospacing="1" w:after="100" w:afterAutospacing="1" w:line="240" w:lineRule="auto"/>
        <w:jc w:val="both"/>
        <w:rPr>
          <w:rFonts w:eastAsia="Times New Roman" w:cstheme="minorHAnsi"/>
          <w:color w:val="000000"/>
          <w:lang w:eastAsia="pl-PL"/>
        </w:rPr>
      </w:pPr>
      <w:r>
        <w:rPr>
          <w:rFonts w:eastAsia="Times New Roman" w:cstheme="minorHAnsi"/>
          <w:noProof/>
          <w:color w:val="000000"/>
          <w:lang w:eastAsia="pl-PL"/>
        </w:rPr>
        <w:drawing>
          <wp:inline distT="0" distB="0" distL="0" distR="0" wp14:anchorId="1AAE5DA7" wp14:editId="2E4B9C05">
            <wp:extent cx="5324475" cy="2405795"/>
            <wp:effectExtent l="19050" t="19050" r="9525" b="13970"/>
            <wp:docPr id="10" name="Obraz 10" descr="C:\Users\KMI.RPN\Desktop\inwen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MI.RPN\Desktop\inwent\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1527" cy="2408981"/>
                    </a:xfrm>
                    <a:prstGeom prst="rect">
                      <a:avLst/>
                    </a:prstGeom>
                    <a:noFill/>
                    <a:ln>
                      <a:solidFill>
                        <a:schemeClr val="accent1"/>
                      </a:solidFill>
                    </a:ln>
                  </pic:spPr>
                </pic:pic>
              </a:graphicData>
            </a:graphic>
          </wp:inline>
        </w:drawing>
      </w:r>
    </w:p>
    <w:p w:rsidR="00AC1CD3" w:rsidRDefault="00AC1CD3" w:rsidP="00FD69CD">
      <w:pPr>
        <w:pStyle w:val="Akapitzlist"/>
        <w:numPr>
          <w:ilvl w:val="0"/>
          <w:numId w:val="5"/>
        </w:numPr>
        <w:jc w:val="both"/>
      </w:pPr>
      <w:r>
        <w:t>Na liście</w:t>
      </w:r>
      <w:r>
        <w:t xml:space="preserve"> podpowiedzi </w:t>
      </w:r>
      <w:r>
        <w:t xml:space="preserve"> produktów </w:t>
      </w:r>
      <w:r>
        <w:t xml:space="preserve">wyszukaj właściwe towary. </w:t>
      </w:r>
      <w:r>
        <w:t>Dla sprawniejszej obsługi możesz wykorzystać drzewo klas produktów i filtry, które znajdują się nad listą produktów.</w:t>
      </w:r>
    </w:p>
    <w:p w:rsidR="00AC1CD3" w:rsidRDefault="00AC1CD3" w:rsidP="00FD69CD">
      <w:pPr>
        <w:pStyle w:val="Akapitzlist"/>
        <w:jc w:val="both"/>
      </w:pPr>
      <w:r>
        <w:t>Możesz również posługiwać się skrótami klawiszowymi właściwymi w obsłudze programów MS Excel.</w:t>
      </w:r>
    </w:p>
    <w:p w:rsidR="00AC1CD3" w:rsidRDefault="00AC1CD3" w:rsidP="00FD69CD">
      <w:pPr>
        <w:pStyle w:val="Akapitzlist"/>
        <w:spacing w:before="100" w:beforeAutospacing="1" w:after="100" w:afterAutospacing="1" w:line="240" w:lineRule="auto"/>
        <w:jc w:val="both"/>
      </w:pPr>
      <w:r>
        <w:t>Po wybraniu produktów kliknij w pole „Wybierz”. Wybrane produktu zostaną przeniesione na listę dokumentu</w:t>
      </w:r>
      <w:r w:rsidR="008C5624">
        <w:t>.</w:t>
      </w:r>
    </w:p>
    <w:p w:rsidR="00590B95" w:rsidRDefault="00590B95" w:rsidP="00FD69CD">
      <w:pPr>
        <w:pStyle w:val="Akapitzlist"/>
        <w:spacing w:before="100" w:beforeAutospacing="1" w:after="100" w:afterAutospacing="1" w:line="240" w:lineRule="auto"/>
        <w:jc w:val="both"/>
      </w:pPr>
    </w:p>
    <w:p w:rsidR="008C5624" w:rsidRDefault="008C5624" w:rsidP="00FD69CD">
      <w:pPr>
        <w:pStyle w:val="Akapitzlist"/>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25AD492E" wp14:editId="03DD29A1">
            <wp:extent cx="5327973" cy="2695575"/>
            <wp:effectExtent l="19050" t="19050" r="25400" b="9525"/>
            <wp:docPr id="11" name="Obraz 11" descr="C:\Users\KMI.RPN\Desktop\inwen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MI.RPN\Desktop\inwent\1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724" cy="2695449"/>
                    </a:xfrm>
                    <a:prstGeom prst="rect">
                      <a:avLst/>
                    </a:prstGeom>
                    <a:noFill/>
                    <a:ln>
                      <a:solidFill>
                        <a:schemeClr val="accent1"/>
                      </a:solidFill>
                    </a:ln>
                  </pic:spPr>
                </pic:pic>
              </a:graphicData>
            </a:graphic>
          </wp:inline>
        </w:drawing>
      </w:r>
    </w:p>
    <w:p w:rsidR="008C5624" w:rsidRDefault="008C5624" w:rsidP="00FD69CD">
      <w:pPr>
        <w:pStyle w:val="Akapitzlist"/>
        <w:spacing w:before="100" w:beforeAutospacing="1" w:after="100" w:afterAutospacing="1" w:line="240" w:lineRule="auto"/>
        <w:jc w:val="both"/>
        <w:rPr>
          <w:rFonts w:eastAsia="Times New Roman" w:cstheme="minorHAnsi"/>
          <w:color w:val="000000"/>
          <w:lang w:eastAsia="pl-PL"/>
        </w:rPr>
      </w:pPr>
    </w:p>
    <w:p w:rsidR="008C5624" w:rsidRDefault="008C5624" w:rsidP="00FD69CD">
      <w:pPr>
        <w:pStyle w:val="Akapitzlist"/>
        <w:spacing w:before="100" w:beforeAutospacing="1" w:after="100" w:afterAutospacing="1" w:line="240" w:lineRule="auto"/>
        <w:jc w:val="both"/>
        <w:rPr>
          <w:rFonts w:eastAsia="Times New Roman" w:cstheme="minorHAnsi"/>
          <w:color w:val="000000"/>
          <w:lang w:eastAsia="pl-PL"/>
        </w:rPr>
      </w:pPr>
      <w:r>
        <w:rPr>
          <w:rFonts w:eastAsia="Times New Roman" w:cstheme="minorHAnsi"/>
          <w:noProof/>
          <w:color w:val="000000"/>
          <w:lang w:eastAsia="pl-PL"/>
        </w:rPr>
        <w:lastRenderedPageBreak/>
        <w:drawing>
          <wp:inline distT="0" distB="0" distL="0" distR="0" wp14:anchorId="5692B6A4" wp14:editId="55759169">
            <wp:extent cx="5295900" cy="2713171"/>
            <wp:effectExtent l="19050" t="19050" r="19050" b="11430"/>
            <wp:docPr id="12" name="Obraz 12" descr="C:\Users\KMI.RPN\Desktop\inwen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MI.RPN\Desktop\inwent\1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94149" cy="2712274"/>
                    </a:xfrm>
                    <a:prstGeom prst="rect">
                      <a:avLst/>
                    </a:prstGeom>
                    <a:noFill/>
                    <a:ln>
                      <a:solidFill>
                        <a:schemeClr val="accent1"/>
                      </a:solidFill>
                    </a:ln>
                  </pic:spPr>
                </pic:pic>
              </a:graphicData>
            </a:graphic>
          </wp:inline>
        </w:drawing>
      </w:r>
    </w:p>
    <w:p w:rsidR="008C5624" w:rsidRDefault="008C5624" w:rsidP="00FD69CD">
      <w:pPr>
        <w:pStyle w:val="Akapitzlist"/>
        <w:spacing w:before="100" w:beforeAutospacing="1" w:after="100" w:afterAutospacing="1" w:line="240" w:lineRule="auto"/>
        <w:jc w:val="both"/>
        <w:rPr>
          <w:rFonts w:eastAsia="Times New Roman" w:cstheme="minorHAnsi"/>
          <w:color w:val="000000"/>
          <w:lang w:eastAsia="pl-PL"/>
        </w:rPr>
      </w:pPr>
    </w:p>
    <w:p w:rsidR="008C5624" w:rsidRDefault="008C5624" w:rsidP="00FD69CD">
      <w:pPr>
        <w:pStyle w:val="Akapitzlist"/>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1A584F33" wp14:editId="48E31A23">
            <wp:extent cx="5295900" cy="3238728"/>
            <wp:effectExtent l="19050" t="19050" r="19050" b="19050"/>
            <wp:docPr id="13" name="Obraz 13" descr="C:\Users\KMI.RPN\Desktop\inwen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MI.RPN\Desktop\inwent\1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94149" cy="3237657"/>
                    </a:xfrm>
                    <a:prstGeom prst="rect">
                      <a:avLst/>
                    </a:prstGeom>
                    <a:noFill/>
                    <a:ln>
                      <a:solidFill>
                        <a:schemeClr val="accent1"/>
                      </a:solidFill>
                    </a:ln>
                  </pic:spPr>
                </pic:pic>
              </a:graphicData>
            </a:graphic>
          </wp:inline>
        </w:drawing>
      </w:r>
    </w:p>
    <w:p w:rsidR="00590B95" w:rsidRDefault="00590B95">
      <w:pPr>
        <w:rPr>
          <w:rFonts w:eastAsia="Times New Roman" w:cstheme="minorHAnsi"/>
          <w:color w:val="000000"/>
          <w:lang w:eastAsia="pl-PL"/>
        </w:rPr>
      </w:pPr>
      <w:r>
        <w:rPr>
          <w:rFonts w:eastAsia="Times New Roman" w:cstheme="minorHAnsi"/>
          <w:color w:val="000000"/>
          <w:lang w:eastAsia="pl-PL"/>
        </w:rPr>
        <w:br w:type="page"/>
      </w:r>
    </w:p>
    <w:p w:rsidR="008C5624" w:rsidRDefault="008C5624" w:rsidP="00FD69CD">
      <w:pPr>
        <w:pStyle w:val="Akapitzlist"/>
        <w:spacing w:before="100" w:beforeAutospacing="1" w:after="100" w:afterAutospacing="1" w:line="240" w:lineRule="auto"/>
        <w:jc w:val="both"/>
        <w:rPr>
          <w:rFonts w:eastAsia="Times New Roman" w:cstheme="minorHAnsi"/>
          <w:color w:val="000000"/>
          <w:lang w:eastAsia="pl-PL"/>
        </w:rPr>
      </w:pPr>
    </w:p>
    <w:p w:rsidR="008C5624" w:rsidRDefault="00EF1648" w:rsidP="00FD69CD">
      <w:pPr>
        <w:pStyle w:val="Akapitzlist"/>
        <w:numPr>
          <w:ilvl w:val="0"/>
          <w:numId w:val="5"/>
        </w:numPr>
        <w:spacing w:before="100" w:beforeAutospacing="1" w:after="100" w:afterAutospacing="1" w:line="240" w:lineRule="auto"/>
        <w:jc w:val="both"/>
        <w:rPr>
          <w:rFonts w:eastAsia="Times New Roman" w:cstheme="minorHAnsi"/>
          <w:color w:val="000000"/>
          <w:lang w:eastAsia="pl-PL"/>
        </w:rPr>
      </w:pPr>
      <w:r>
        <w:rPr>
          <w:rFonts w:eastAsia="Times New Roman" w:cstheme="minorHAnsi"/>
          <w:color w:val="000000"/>
          <w:lang w:eastAsia="pl-PL"/>
        </w:rPr>
        <w:t xml:space="preserve">Korzystając z ikony „Drukuj”  znajdującej się na pasku narzędziowym wydrukuj arkusze spisowe dla komisji spisowych. </w:t>
      </w:r>
    </w:p>
    <w:p w:rsidR="00190F4A" w:rsidRDefault="00190F4A" w:rsidP="00FD69CD">
      <w:pPr>
        <w:pStyle w:val="Akapitzlist"/>
        <w:spacing w:before="100" w:beforeAutospacing="1" w:after="100" w:afterAutospacing="1" w:line="240" w:lineRule="auto"/>
        <w:jc w:val="center"/>
        <w:rPr>
          <w:rFonts w:eastAsia="Times New Roman" w:cstheme="minorHAnsi"/>
          <w:color w:val="000000"/>
          <w:lang w:eastAsia="pl-PL"/>
        </w:rPr>
      </w:pPr>
      <w:r>
        <w:rPr>
          <w:rFonts w:eastAsia="Times New Roman" w:cstheme="minorHAnsi"/>
          <w:noProof/>
          <w:color w:val="000000"/>
          <w:lang w:eastAsia="pl-PL"/>
        </w:rPr>
        <w:drawing>
          <wp:inline distT="0" distB="0" distL="0" distR="0" wp14:anchorId="4B6E9CE9" wp14:editId="6D867B92">
            <wp:extent cx="619125" cy="533400"/>
            <wp:effectExtent l="19050" t="19050" r="28575" b="19050"/>
            <wp:docPr id="15" name="Obraz 15" descr="C:\Users\KMI.RPN\Desktop\inwen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MI.RPN\Desktop\inwent\1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9125" cy="533400"/>
                    </a:xfrm>
                    <a:prstGeom prst="rect">
                      <a:avLst/>
                    </a:prstGeom>
                    <a:noFill/>
                    <a:ln>
                      <a:solidFill>
                        <a:schemeClr val="accent1"/>
                      </a:solidFill>
                    </a:ln>
                  </pic:spPr>
                </pic:pic>
              </a:graphicData>
            </a:graphic>
          </wp:inline>
        </w:drawing>
      </w:r>
    </w:p>
    <w:p w:rsidR="00190F4A" w:rsidRPr="00AC1CD3" w:rsidRDefault="00190F4A" w:rsidP="00FD69CD">
      <w:pPr>
        <w:pStyle w:val="Akapitzlist"/>
        <w:spacing w:before="100" w:beforeAutospacing="1" w:after="100" w:afterAutospacing="1" w:line="240" w:lineRule="auto"/>
        <w:jc w:val="both"/>
        <w:rPr>
          <w:rFonts w:eastAsia="Times New Roman" w:cstheme="minorHAnsi"/>
          <w:color w:val="000000"/>
          <w:lang w:eastAsia="pl-PL"/>
        </w:rPr>
      </w:pPr>
    </w:p>
    <w:p w:rsidR="00A144A9" w:rsidRDefault="00190F4A" w:rsidP="00FD69CD">
      <w:pPr>
        <w:pStyle w:val="Akapitzlist"/>
        <w:jc w:val="both"/>
        <w:rPr>
          <w:rFonts w:cstheme="minorHAnsi"/>
        </w:rPr>
      </w:pPr>
      <w:r>
        <w:rPr>
          <w:rFonts w:cstheme="minorHAnsi"/>
          <w:noProof/>
          <w:lang w:eastAsia="pl-PL"/>
        </w:rPr>
        <w:drawing>
          <wp:inline distT="0" distB="0" distL="0" distR="0" wp14:anchorId="5B3F8394" wp14:editId="2EA7A234">
            <wp:extent cx="5257800" cy="1494865"/>
            <wp:effectExtent l="19050" t="19050" r="19050" b="10160"/>
            <wp:docPr id="16" name="Obraz 16" descr="C:\Users\KMI.RPN\Desktop\inwen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MI.RPN\Desktop\inwent\1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6362" cy="1494456"/>
                    </a:xfrm>
                    <a:prstGeom prst="rect">
                      <a:avLst/>
                    </a:prstGeom>
                    <a:noFill/>
                    <a:ln>
                      <a:solidFill>
                        <a:schemeClr val="accent1"/>
                      </a:solidFill>
                    </a:ln>
                  </pic:spPr>
                </pic:pic>
              </a:graphicData>
            </a:graphic>
          </wp:inline>
        </w:drawing>
      </w:r>
    </w:p>
    <w:p w:rsidR="00190F4A" w:rsidRDefault="00190F4A" w:rsidP="00FD69CD">
      <w:pPr>
        <w:pStyle w:val="Akapitzlist"/>
        <w:jc w:val="both"/>
        <w:rPr>
          <w:rFonts w:cstheme="minorHAnsi"/>
        </w:rPr>
      </w:pPr>
    </w:p>
    <w:p w:rsidR="00190F4A" w:rsidRDefault="00190F4A" w:rsidP="00FD69CD">
      <w:pPr>
        <w:pStyle w:val="Akapitzlist"/>
        <w:jc w:val="both"/>
        <w:rPr>
          <w:rFonts w:cstheme="minorHAnsi"/>
        </w:rPr>
      </w:pPr>
      <w:r>
        <w:rPr>
          <w:rFonts w:cstheme="minorHAnsi"/>
          <w:noProof/>
          <w:lang w:eastAsia="pl-PL"/>
        </w:rPr>
        <w:drawing>
          <wp:inline distT="0" distB="0" distL="0" distR="0" wp14:anchorId="70066BC5" wp14:editId="41615E53">
            <wp:extent cx="5257800" cy="2835667"/>
            <wp:effectExtent l="19050" t="19050" r="19050" b="22225"/>
            <wp:docPr id="17" name="Obraz 17" descr="C:\Users\KMI.RPN\Desktop\inwent\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MI.RPN\Desktop\inwent\1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0772" cy="2837270"/>
                    </a:xfrm>
                    <a:prstGeom prst="rect">
                      <a:avLst/>
                    </a:prstGeom>
                    <a:noFill/>
                    <a:ln>
                      <a:solidFill>
                        <a:schemeClr val="accent1"/>
                      </a:solidFill>
                    </a:ln>
                  </pic:spPr>
                </pic:pic>
              </a:graphicData>
            </a:graphic>
          </wp:inline>
        </w:drawing>
      </w:r>
    </w:p>
    <w:p w:rsidR="00590B95" w:rsidRDefault="00590B95">
      <w:pPr>
        <w:rPr>
          <w:rFonts w:cstheme="minorHAnsi"/>
        </w:rPr>
      </w:pPr>
      <w:r>
        <w:rPr>
          <w:rFonts w:cstheme="minorHAnsi"/>
        </w:rPr>
        <w:br w:type="page"/>
      </w:r>
    </w:p>
    <w:p w:rsidR="00190F4A" w:rsidRDefault="00190F4A" w:rsidP="00FD69CD">
      <w:pPr>
        <w:pStyle w:val="Nagwek1"/>
        <w:jc w:val="both"/>
      </w:pPr>
      <w:bookmarkStart w:id="4" w:name="_Toc369994860"/>
      <w:r>
        <w:lastRenderedPageBreak/>
        <w:t>2</w:t>
      </w:r>
      <w:r>
        <w:t xml:space="preserve">. </w:t>
      </w:r>
      <w:r>
        <w:t>Rozliczenie</w:t>
      </w:r>
      <w:bookmarkEnd w:id="4"/>
      <w:r>
        <w:t xml:space="preserve"> </w:t>
      </w:r>
    </w:p>
    <w:p w:rsidR="00190F4A" w:rsidRDefault="008E00BB" w:rsidP="008E00BB">
      <w:pPr>
        <w:pStyle w:val="Nagwek2"/>
      </w:pPr>
      <w:bookmarkStart w:id="5" w:name="_Toc369994861"/>
      <w:r>
        <w:t xml:space="preserve">2.1 </w:t>
      </w:r>
      <w:r w:rsidR="00E43A30">
        <w:t>Wprowadzenie wyników zliczania</w:t>
      </w:r>
      <w:bookmarkEnd w:id="5"/>
    </w:p>
    <w:p w:rsidR="00E43A30" w:rsidRDefault="00E43A30" w:rsidP="00FD69CD">
      <w:pPr>
        <w:pStyle w:val="Akapitzlist"/>
        <w:numPr>
          <w:ilvl w:val="0"/>
          <w:numId w:val="7"/>
        </w:numPr>
        <w:jc w:val="both"/>
      </w:pPr>
      <w:r>
        <w:t xml:space="preserve">Wybierz: Menu pełne / Obrót towarowy / </w:t>
      </w:r>
      <w:r>
        <w:t>Magazyny</w:t>
      </w:r>
      <w:r>
        <w:t xml:space="preserve"> / </w:t>
      </w:r>
      <w:r>
        <w:t xml:space="preserve">Arkusze inwentaryzacji </w:t>
      </w:r>
      <w:r>
        <w:t>– lista</w:t>
      </w:r>
    </w:p>
    <w:p w:rsidR="00E43A30" w:rsidRDefault="00E43A30" w:rsidP="00FD69CD">
      <w:pPr>
        <w:pStyle w:val="Akapitzlist"/>
        <w:jc w:val="both"/>
      </w:pPr>
      <w:r>
        <w:rPr>
          <w:noProof/>
          <w:lang w:eastAsia="pl-PL"/>
        </w:rPr>
        <w:drawing>
          <wp:inline distT="0" distB="0" distL="0" distR="0" wp14:anchorId="5D34F01A" wp14:editId="52EBF1FB">
            <wp:extent cx="4772025" cy="3609975"/>
            <wp:effectExtent l="19050" t="19050" r="28575" b="28575"/>
            <wp:docPr id="18" name="Obraz 18" descr="C:\Users\KMI.RPN\Desktop\inwen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MI.RPN\Desktop\inwent\16.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4789" cy="3612066"/>
                    </a:xfrm>
                    <a:prstGeom prst="rect">
                      <a:avLst/>
                    </a:prstGeom>
                    <a:noFill/>
                    <a:ln>
                      <a:solidFill>
                        <a:schemeClr val="accent1"/>
                      </a:solidFill>
                    </a:ln>
                  </pic:spPr>
                </pic:pic>
              </a:graphicData>
            </a:graphic>
          </wp:inline>
        </w:drawing>
      </w:r>
    </w:p>
    <w:p w:rsidR="00E43A30" w:rsidRDefault="00E43A30" w:rsidP="00FD69CD">
      <w:pPr>
        <w:pStyle w:val="Akapitzlist"/>
        <w:jc w:val="both"/>
      </w:pPr>
    </w:p>
    <w:p w:rsidR="00E43A30" w:rsidRDefault="00E43A30" w:rsidP="00FD69CD">
      <w:pPr>
        <w:pStyle w:val="Akapitzlist"/>
        <w:numPr>
          <w:ilvl w:val="0"/>
          <w:numId w:val="7"/>
        </w:numPr>
        <w:jc w:val="both"/>
      </w:pPr>
      <w:r>
        <w:t xml:space="preserve">Z listy arkuszy wybierz właściwy, odpowiadający dokumentowi </w:t>
      </w:r>
      <w:r w:rsidR="000F23C8">
        <w:t>zawierającemu wyniki zliczania</w:t>
      </w:r>
      <w:r w:rsidR="00DE4488">
        <w:t xml:space="preserve"> z natury</w:t>
      </w:r>
      <w:r w:rsidR="00590B95">
        <w:t>.</w:t>
      </w:r>
    </w:p>
    <w:p w:rsidR="000F23C8" w:rsidRDefault="000F23C8" w:rsidP="00FD69CD">
      <w:pPr>
        <w:pStyle w:val="Akapitzlist"/>
        <w:jc w:val="both"/>
      </w:pPr>
      <w:r>
        <w:rPr>
          <w:noProof/>
          <w:lang w:eastAsia="pl-PL"/>
        </w:rPr>
        <w:drawing>
          <wp:inline distT="0" distB="0" distL="0" distR="0" wp14:anchorId="011D2CD3" wp14:editId="574D5625">
            <wp:extent cx="4905375" cy="3524250"/>
            <wp:effectExtent l="19050" t="19050" r="28575" b="19050"/>
            <wp:docPr id="19" name="Obraz 19" descr="C:\Users\KMI.RPN\Desktop\inwent\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MI.RPN\Desktop\inwent\1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09992" cy="3527567"/>
                    </a:xfrm>
                    <a:prstGeom prst="rect">
                      <a:avLst/>
                    </a:prstGeom>
                    <a:noFill/>
                    <a:ln>
                      <a:solidFill>
                        <a:schemeClr val="accent1"/>
                      </a:solidFill>
                    </a:ln>
                  </pic:spPr>
                </pic:pic>
              </a:graphicData>
            </a:graphic>
          </wp:inline>
        </w:drawing>
      </w:r>
    </w:p>
    <w:p w:rsidR="000F23C8" w:rsidRDefault="000F23C8" w:rsidP="00FD69CD">
      <w:pPr>
        <w:pStyle w:val="Akapitzlist"/>
        <w:jc w:val="both"/>
      </w:pPr>
    </w:p>
    <w:p w:rsidR="000F23C8" w:rsidRDefault="000F23C8" w:rsidP="00FD69CD">
      <w:pPr>
        <w:pStyle w:val="Akapitzlist"/>
        <w:numPr>
          <w:ilvl w:val="0"/>
          <w:numId w:val="7"/>
        </w:numPr>
        <w:jc w:val="both"/>
      </w:pPr>
      <w:r>
        <w:lastRenderedPageBreak/>
        <w:t>Wprowadź wyniki zliczania. W wypadku prowadzenia  inwentaryzacji bez blokady magazynu zwróć uwagę na datę spisu.</w:t>
      </w:r>
    </w:p>
    <w:p w:rsidR="000F23C8" w:rsidRDefault="000F23C8" w:rsidP="00FD69CD">
      <w:pPr>
        <w:pStyle w:val="Akapitzlist"/>
        <w:jc w:val="both"/>
      </w:pPr>
      <w:r>
        <w:rPr>
          <w:noProof/>
          <w:lang w:eastAsia="pl-PL"/>
        </w:rPr>
        <w:drawing>
          <wp:inline distT="0" distB="0" distL="0" distR="0" wp14:anchorId="63A03753" wp14:editId="14775195">
            <wp:extent cx="5200650" cy="3187663"/>
            <wp:effectExtent l="19050" t="19050" r="19050" b="13335"/>
            <wp:docPr id="20" name="Obraz 20" descr="C:\Users\KMI.RPN\Desktop\inwent\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MI.RPN\Desktop\inwent\1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98931" cy="3186609"/>
                    </a:xfrm>
                    <a:prstGeom prst="rect">
                      <a:avLst/>
                    </a:prstGeom>
                    <a:noFill/>
                    <a:ln>
                      <a:solidFill>
                        <a:schemeClr val="accent1"/>
                      </a:solidFill>
                    </a:ln>
                  </pic:spPr>
                </pic:pic>
              </a:graphicData>
            </a:graphic>
          </wp:inline>
        </w:drawing>
      </w:r>
    </w:p>
    <w:p w:rsidR="000F23C8" w:rsidRDefault="00DC5E01" w:rsidP="00FD69CD">
      <w:pPr>
        <w:pStyle w:val="Akapitzlist"/>
        <w:numPr>
          <w:ilvl w:val="0"/>
          <w:numId w:val="7"/>
        </w:numPr>
        <w:jc w:val="both"/>
      </w:pPr>
      <w:r>
        <w:t xml:space="preserve">W przypadku, gdy komisja spisowa </w:t>
      </w:r>
      <w:r w:rsidR="00DE4488">
        <w:t xml:space="preserve">w czasie spisu z natury </w:t>
      </w:r>
      <w:r>
        <w:t>ujawni indeks, którego nie było na wydrukowanym arkuszu spisowym i dopisze go do pozycji dokumentu,</w:t>
      </w:r>
      <w:r w:rsidR="00DE4488">
        <w:t xml:space="preserve"> wówczas</w:t>
      </w:r>
      <w:r>
        <w:t xml:space="preserve"> należy dopisać go do listy pozycji  arkusza w systemie  Simple.ERP. </w:t>
      </w:r>
      <w:r w:rsidR="000F23C8">
        <w:t xml:space="preserve"> </w:t>
      </w:r>
      <w:r w:rsidR="00FA5302">
        <w:t>W tym celu należy postępować analogicznie jak w przypadku obsługi wszystkich innych dokumentów.</w:t>
      </w:r>
    </w:p>
    <w:p w:rsidR="00FA5302" w:rsidRDefault="0048261C" w:rsidP="00FD69CD">
      <w:pPr>
        <w:pStyle w:val="Akapitzlist"/>
        <w:jc w:val="both"/>
      </w:pPr>
      <w:r>
        <w:rPr>
          <w:noProof/>
          <w:lang w:eastAsia="pl-PL"/>
        </w:rPr>
        <w:drawing>
          <wp:inline distT="0" distB="0" distL="0" distR="0" wp14:anchorId="40818038" wp14:editId="4320BBEF">
            <wp:extent cx="5343525" cy="3217836"/>
            <wp:effectExtent l="19050" t="19050" r="9525" b="20955"/>
            <wp:docPr id="21" name="Obraz 21" descr="C:\Users\KMI.RPN\Desktop\inwen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MI.RPN\Desktop\inwent\19.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6558" cy="3219663"/>
                    </a:xfrm>
                    <a:prstGeom prst="rect">
                      <a:avLst/>
                    </a:prstGeom>
                    <a:noFill/>
                    <a:ln>
                      <a:solidFill>
                        <a:schemeClr val="accent1"/>
                      </a:solidFill>
                    </a:ln>
                  </pic:spPr>
                </pic:pic>
              </a:graphicData>
            </a:graphic>
          </wp:inline>
        </w:drawing>
      </w:r>
    </w:p>
    <w:p w:rsidR="0048261C" w:rsidRDefault="0048261C" w:rsidP="00FD69CD">
      <w:pPr>
        <w:pStyle w:val="Akapitzlist"/>
        <w:jc w:val="both"/>
      </w:pPr>
    </w:p>
    <w:p w:rsidR="0048261C" w:rsidRDefault="0048261C" w:rsidP="00FD69CD">
      <w:pPr>
        <w:pStyle w:val="Akapitzlist"/>
        <w:jc w:val="both"/>
      </w:pPr>
      <w:r>
        <w:rPr>
          <w:noProof/>
          <w:lang w:eastAsia="pl-PL"/>
        </w:rPr>
        <w:lastRenderedPageBreak/>
        <w:drawing>
          <wp:inline distT="0" distB="0" distL="0" distR="0" wp14:anchorId="59D6A6A0" wp14:editId="1AC32A0F">
            <wp:extent cx="5343525" cy="3212445"/>
            <wp:effectExtent l="19050" t="19050" r="9525" b="26670"/>
            <wp:docPr id="22" name="Obraz 22" descr="C:\Users\KMI.RPN\Desktop\inwen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MI.RPN\Desktop\inwent\2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1759" cy="3211383"/>
                    </a:xfrm>
                    <a:prstGeom prst="rect">
                      <a:avLst/>
                    </a:prstGeom>
                    <a:noFill/>
                    <a:ln>
                      <a:solidFill>
                        <a:schemeClr val="accent1"/>
                      </a:solidFill>
                    </a:ln>
                  </pic:spPr>
                </pic:pic>
              </a:graphicData>
            </a:graphic>
          </wp:inline>
        </w:drawing>
      </w:r>
    </w:p>
    <w:p w:rsidR="0048261C" w:rsidRDefault="0048261C" w:rsidP="00FD69CD">
      <w:pPr>
        <w:pStyle w:val="Akapitzlist"/>
        <w:jc w:val="both"/>
      </w:pPr>
    </w:p>
    <w:p w:rsidR="0048261C" w:rsidRDefault="0048261C" w:rsidP="00FD69CD">
      <w:pPr>
        <w:pStyle w:val="Akapitzlist"/>
        <w:jc w:val="both"/>
      </w:pPr>
      <w:r>
        <w:rPr>
          <w:noProof/>
          <w:lang w:eastAsia="pl-PL"/>
        </w:rPr>
        <w:drawing>
          <wp:inline distT="0" distB="0" distL="0" distR="0" wp14:anchorId="4C31446F" wp14:editId="191B3F00">
            <wp:extent cx="5334000" cy="3281639"/>
            <wp:effectExtent l="19050" t="19050" r="19050" b="14605"/>
            <wp:docPr id="23" name="Obraz 23" descr="C:\Users\KMI.RPN\Desktop\inwen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MI.RPN\Desktop\inwent\2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5310" cy="3282445"/>
                    </a:xfrm>
                    <a:prstGeom prst="rect">
                      <a:avLst/>
                    </a:prstGeom>
                    <a:noFill/>
                    <a:ln>
                      <a:solidFill>
                        <a:schemeClr val="accent1"/>
                      </a:solidFill>
                    </a:ln>
                  </pic:spPr>
                </pic:pic>
              </a:graphicData>
            </a:graphic>
          </wp:inline>
        </w:drawing>
      </w:r>
    </w:p>
    <w:p w:rsidR="00590B95" w:rsidRDefault="00590B95">
      <w:r>
        <w:br w:type="page"/>
      </w:r>
    </w:p>
    <w:p w:rsidR="0048261C" w:rsidRDefault="0048261C" w:rsidP="00FD69CD">
      <w:pPr>
        <w:pStyle w:val="Akapitzlist"/>
        <w:jc w:val="both"/>
      </w:pPr>
    </w:p>
    <w:p w:rsidR="006E4E32" w:rsidRDefault="006E4E32" w:rsidP="00FD69CD">
      <w:pPr>
        <w:pStyle w:val="Akapitzlist"/>
        <w:numPr>
          <w:ilvl w:val="0"/>
          <w:numId w:val="7"/>
        </w:numPr>
        <w:jc w:val="both"/>
      </w:pPr>
      <w:r>
        <w:t>Po zakończeniu wprowadzania wyników zliczania do arkusza inwentaryzacji  należy arkusz dołączyć do inwentaryzacji.  W tym celu wybierz z paska narzędzi ikonę „Dołącz arkusz”.</w:t>
      </w:r>
    </w:p>
    <w:p w:rsidR="006E4E32" w:rsidRDefault="006E4E32" w:rsidP="008E00BB">
      <w:pPr>
        <w:pStyle w:val="Akapitzlist"/>
        <w:jc w:val="center"/>
      </w:pPr>
      <w:r>
        <w:rPr>
          <w:noProof/>
          <w:lang w:eastAsia="pl-PL"/>
        </w:rPr>
        <w:drawing>
          <wp:inline distT="0" distB="0" distL="0" distR="0" wp14:anchorId="454CB353" wp14:editId="2A884634">
            <wp:extent cx="771525" cy="419100"/>
            <wp:effectExtent l="19050" t="19050" r="28575" b="19050"/>
            <wp:docPr id="24" name="Obraz 24" descr="C:\Users\KMI.RPN\Desktop\inwen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MI.RPN\Desktop\inwent\2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solidFill>
                        <a:schemeClr val="accent1"/>
                      </a:solidFill>
                    </a:ln>
                  </pic:spPr>
                </pic:pic>
              </a:graphicData>
            </a:graphic>
          </wp:inline>
        </w:drawing>
      </w:r>
    </w:p>
    <w:p w:rsidR="006E4E32" w:rsidRDefault="006E4E32" w:rsidP="00FD69CD">
      <w:pPr>
        <w:pStyle w:val="Akapitzlist"/>
        <w:jc w:val="both"/>
      </w:pPr>
      <w:r>
        <w:rPr>
          <w:noProof/>
          <w:lang w:eastAsia="pl-PL"/>
        </w:rPr>
        <w:drawing>
          <wp:inline distT="0" distB="0" distL="0" distR="0" wp14:anchorId="48FA0491" wp14:editId="3A8E1A0C">
            <wp:extent cx="5334000" cy="3241716"/>
            <wp:effectExtent l="19050" t="19050" r="19050" b="15875"/>
            <wp:docPr id="25" name="Obraz 25" descr="C:\Users\KMI.RPN\Desktop\inwent\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MI.RPN\Desktop\inwent\2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2237" cy="3240644"/>
                    </a:xfrm>
                    <a:prstGeom prst="rect">
                      <a:avLst/>
                    </a:prstGeom>
                    <a:noFill/>
                    <a:ln>
                      <a:solidFill>
                        <a:schemeClr val="accent1"/>
                      </a:solidFill>
                    </a:ln>
                  </pic:spPr>
                </pic:pic>
              </a:graphicData>
            </a:graphic>
          </wp:inline>
        </w:drawing>
      </w:r>
    </w:p>
    <w:p w:rsidR="006E4E32" w:rsidRDefault="006E4E32" w:rsidP="00FD69CD">
      <w:pPr>
        <w:pStyle w:val="Akapitzlist"/>
        <w:jc w:val="both"/>
      </w:pPr>
    </w:p>
    <w:p w:rsidR="006E4E32" w:rsidRDefault="006E4E32" w:rsidP="00FD69CD">
      <w:pPr>
        <w:pStyle w:val="Akapitzlist"/>
        <w:jc w:val="both"/>
      </w:pPr>
      <w:r>
        <w:rPr>
          <w:noProof/>
          <w:lang w:eastAsia="pl-PL"/>
        </w:rPr>
        <w:drawing>
          <wp:inline distT="0" distB="0" distL="0" distR="0" wp14:anchorId="788A235C" wp14:editId="667B7AED">
            <wp:extent cx="5286375" cy="2423213"/>
            <wp:effectExtent l="19050" t="19050" r="9525" b="15240"/>
            <wp:docPr id="26" name="Obraz 26" descr="C:\Users\KMI.RPN\Desktop\inwent\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MI.RPN\Desktop\inwent\2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90827" cy="2425254"/>
                    </a:xfrm>
                    <a:prstGeom prst="rect">
                      <a:avLst/>
                    </a:prstGeom>
                    <a:noFill/>
                    <a:ln>
                      <a:solidFill>
                        <a:schemeClr val="accent1"/>
                      </a:solidFill>
                    </a:ln>
                  </pic:spPr>
                </pic:pic>
              </a:graphicData>
            </a:graphic>
          </wp:inline>
        </w:drawing>
      </w:r>
    </w:p>
    <w:p w:rsidR="006E4E32" w:rsidRDefault="006E4E32" w:rsidP="00FD69CD">
      <w:pPr>
        <w:pStyle w:val="Akapitzlist"/>
        <w:jc w:val="both"/>
      </w:pPr>
    </w:p>
    <w:p w:rsidR="006E4E32" w:rsidRDefault="006E4E32" w:rsidP="00FD69CD">
      <w:pPr>
        <w:pStyle w:val="Akapitzlist"/>
        <w:numPr>
          <w:ilvl w:val="0"/>
          <w:numId w:val="7"/>
        </w:numPr>
        <w:jc w:val="both"/>
      </w:pPr>
      <w:r>
        <w:t>W ten sposób należy postąpić ze wszystkimi arkuszami inwentaryzacji.</w:t>
      </w:r>
    </w:p>
    <w:p w:rsidR="00590B95" w:rsidRDefault="00590B95">
      <w:r>
        <w:br w:type="page"/>
      </w:r>
    </w:p>
    <w:p w:rsidR="00CD2EAC" w:rsidRDefault="006E4E32" w:rsidP="008E00BB">
      <w:pPr>
        <w:pStyle w:val="Nagwek2"/>
      </w:pPr>
      <w:r>
        <w:lastRenderedPageBreak/>
        <w:t xml:space="preserve">  </w:t>
      </w:r>
      <w:bookmarkStart w:id="6" w:name="_Toc369994862"/>
      <w:r w:rsidR="008E00BB">
        <w:t>2.2</w:t>
      </w:r>
      <w:r>
        <w:t xml:space="preserve"> </w:t>
      </w:r>
      <w:r w:rsidR="00CD2EAC">
        <w:t>Zatwierdzenie</w:t>
      </w:r>
      <w:r w:rsidR="00CD2EAC">
        <w:t xml:space="preserve"> </w:t>
      </w:r>
      <w:r w:rsidR="00CD2EAC">
        <w:t>inwentaryzacji</w:t>
      </w:r>
      <w:bookmarkEnd w:id="6"/>
    </w:p>
    <w:p w:rsidR="00CD2EAC" w:rsidRDefault="00CD2EAC" w:rsidP="00FD69CD">
      <w:pPr>
        <w:pStyle w:val="Akapitzlist"/>
        <w:numPr>
          <w:ilvl w:val="0"/>
          <w:numId w:val="8"/>
        </w:numPr>
        <w:jc w:val="both"/>
      </w:pPr>
      <w:r>
        <w:t xml:space="preserve">Wybierz: Menu pełne / Obrót towarowy / Magazyny / </w:t>
      </w:r>
      <w:r>
        <w:t>Inwentaryzacje</w:t>
      </w:r>
      <w:r>
        <w:t xml:space="preserve"> – lista</w:t>
      </w:r>
    </w:p>
    <w:p w:rsidR="00CD2EAC" w:rsidRDefault="00CD2EAC" w:rsidP="00FD69CD">
      <w:pPr>
        <w:pStyle w:val="Akapitzlist"/>
        <w:jc w:val="both"/>
      </w:pPr>
      <w:r>
        <w:rPr>
          <w:noProof/>
          <w:lang w:eastAsia="pl-PL"/>
        </w:rPr>
        <w:drawing>
          <wp:inline distT="0" distB="0" distL="0" distR="0" wp14:anchorId="2A27D5B4" wp14:editId="553E1AAE">
            <wp:extent cx="5229225" cy="4350289"/>
            <wp:effectExtent l="19050" t="19050" r="9525" b="12700"/>
            <wp:docPr id="27" name="Obraz 27" descr="C:\Users\KMI.RPN\Desktop\inwent\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MI.RPN\Desktop\inwent\2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9225" cy="4350289"/>
                    </a:xfrm>
                    <a:prstGeom prst="rect">
                      <a:avLst/>
                    </a:prstGeom>
                    <a:noFill/>
                    <a:ln>
                      <a:solidFill>
                        <a:schemeClr val="accent1"/>
                      </a:solidFill>
                    </a:ln>
                  </pic:spPr>
                </pic:pic>
              </a:graphicData>
            </a:graphic>
          </wp:inline>
        </w:drawing>
      </w:r>
    </w:p>
    <w:p w:rsidR="00CD2EAC" w:rsidRDefault="00CD2EAC" w:rsidP="00FD69CD">
      <w:pPr>
        <w:pStyle w:val="Akapitzlist"/>
        <w:jc w:val="both"/>
      </w:pPr>
    </w:p>
    <w:p w:rsidR="006E4E32" w:rsidRDefault="00CD2EAC" w:rsidP="00FD69CD">
      <w:pPr>
        <w:pStyle w:val="Akapitzlist"/>
        <w:numPr>
          <w:ilvl w:val="0"/>
          <w:numId w:val="8"/>
        </w:numPr>
        <w:jc w:val="both"/>
      </w:pPr>
      <w:r>
        <w:t>Otwórz właściwy dokument inwentaryzacji. Dokument został uzupełniony o pozycje z dopiętych arkuszy spisowych</w:t>
      </w:r>
    </w:p>
    <w:p w:rsidR="00CD2EAC" w:rsidRDefault="00CD2EAC" w:rsidP="00FD69CD">
      <w:pPr>
        <w:pStyle w:val="Akapitzlist"/>
        <w:jc w:val="both"/>
      </w:pPr>
      <w:r>
        <w:rPr>
          <w:noProof/>
          <w:lang w:eastAsia="pl-PL"/>
        </w:rPr>
        <w:drawing>
          <wp:inline distT="0" distB="0" distL="0" distR="0" wp14:anchorId="4A925935" wp14:editId="6B75117B">
            <wp:extent cx="5276850" cy="1605998"/>
            <wp:effectExtent l="19050" t="19050" r="19050" b="13335"/>
            <wp:docPr id="28" name="Obraz 28" descr="C:\Users\KMI.RPN\Desktop\inwent\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MI.RPN\Desktop\inwent\2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8846" cy="1606606"/>
                    </a:xfrm>
                    <a:prstGeom prst="rect">
                      <a:avLst/>
                    </a:prstGeom>
                    <a:noFill/>
                    <a:ln>
                      <a:solidFill>
                        <a:schemeClr val="accent1"/>
                      </a:solidFill>
                    </a:ln>
                  </pic:spPr>
                </pic:pic>
              </a:graphicData>
            </a:graphic>
          </wp:inline>
        </w:drawing>
      </w:r>
    </w:p>
    <w:p w:rsidR="00CD2EAC" w:rsidRDefault="00CD2EAC" w:rsidP="00FD69CD">
      <w:pPr>
        <w:pStyle w:val="Akapitzlist"/>
        <w:jc w:val="both"/>
      </w:pPr>
    </w:p>
    <w:p w:rsidR="00CD2EAC" w:rsidRDefault="00CD2EAC" w:rsidP="00FD69CD">
      <w:pPr>
        <w:pStyle w:val="Akapitzlist"/>
        <w:jc w:val="both"/>
      </w:pPr>
      <w:r>
        <w:rPr>
          <w:noProof/>
          <w:lang w:eastAsia="pl-PL"/>
        </w:rPr>
        <w:lastRenderedPageBreak/>
        <w:drawing>
          <wp:inline distT="0" distB="0" distL="0" distR="0" wp14:anchorId="052C839D" wp14:editId="17C1CF1E">
            <wp:extent cx="5276850" cy="3215663"/>
            <wp:effectExtent l="19050" t="19050" r="19050" b="22860"/>
            <wp:docPr id="29" name="Obraz 29" descr="C:\Users\KMI.RPN\Desktop\inwent\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MI.RPN\Desktop\inwent\2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5106" cy="3214600"/>
                    </a:xfrm>
                    <a:prstGeom prst="rect">
                      <a:avLst/>
                    </a:prstGeom>
                    <a:noFill/>
                    <a:ln>
                      <a:solidFill>
                        <a:schemeClr val="accent1"/>
                      </a:solidFill>
                    </a:ln>
                  </pic:spPr>
                </pic:pic>
              </a:graphicData>
            </a:graphic>
          </wp:inline>
        </w:drawing>
      </w:r>
    </w:p>
    <w:p w:rsidR="00CD2EAC" w:rsidRDefault="00CD2EAC" w:rsidP="00FD69CD">
      <w:pPr>
        <w:pStyle w:val="Akapitzlist"/>
        <w:jc w:val="both"/>
      </w:pPr>
    </w:p>
    <w:p w:rsidR="00CD2EAC" w:rsidRDefault="00CD2EAC" w:rsidP="00FD69CD">
      <w:pPr>
        <w:pStyle w:val="Akapitzlist"/>
        <w:numPr>
          <w:ilvl w:val="0"/>
          <w:numId w:val="8"/>
        </w:numPr>
        <w:jc w:val="both"/>
      </w:pPr>
      <w:r>
        <w:t xml:space="preserve">Na pasku narzędziowym wybierz ikonę „Generuj arkusz różnicowy”. Arkusz różnicowy jest dokumentem technicznym pozwalającym </w:t>
      </w:r>
      <w:r w:rsidR="00DE4488">
        <w:t>na weryfikację dołączonych już arkuszy i wykazanie niedoborów w przypadku, gdyby jakikolwiek indeks został pominięty jednocześnie przez tworzącego arkusze i przez dokonującego spisu z natury.</w:t>
      </w:r>
    </w:p>
    <w:p w:rsidR="00DE4488" w:rsidRDefault="00DE4488" w:rsidP="00FD69CD">
      <w:pPr>
        <w:pStyle w:val="Akapitzlist"/>
        <w:jc w:val="both"/>
      </w:pPr>
    </w:p>
    <w:p w:rsidR="00DE4488" w:rsidRDefault="00DE4488" w:rsidP="008E00BB">
      <w:pPr>
        <w:pStyle w:val="Akapitzlist"/>
        <w:jc w:val="center"/>
      </w:pPr>
      <w:r>
        <w:rPr>
          <w:noProof/>
          <w:lang w:eastAsia="pl-PL"/>
        </w:rPr>
        <w:drawing>
          <wp:inline distT="0" distB="0" distL="0" distR="0" wp14:anchorId="01336467" wp14:editId="2B9F873B">
            <wp:extent cx="800100" cy="466725"/>
            <wp:effectExtent l="19050" t="19050" r="19050" b="28575"/>
            <wp:docPr id="30" name="Obraz 30" descr="C:\Users\KMI.RPN\Desktop\inwent\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MI.RPN\Desktop\inwent\2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00100" cy="466725"/>
                    </a:xfrm>
                    <a:prstGeom prst="rect">
                      <a:avLst/>
                    </a:prstGeom>
                    <a:noFill/>
                    <a:ln>
                      <a:solidFill>
                        <a:schemeClr val="accent1"/>
                      </a:solidFill>
                    </a:ln>
                  </pic:spPr>
                </pic:pic>
              </a:graphicData>
            </a:graphic>
          </wp:inline>
        </w:drawing>
      </w:r>
    </w:p>
    <w:p w:rsidR="00DE4488" w:rsidRDefault="00DE4488" w:rsidP="00FD69CD">
      <w:pPr>
        <w:pStyle w:val="Akapitzlist"/>
        <w:jc w:val="both"/>
      </w:pPr>
    </w:p>
    <w:p w:rsidR="00DE4488" w:rsidRDefault="00DE4488" w:rsidP="00FD69CD">
      <w:pPr>
        <w:pStyle w:val="Akapitzlist"/>
        <w:jc w:val="both"/>
      </w:pPr>
      <w:r>
        <w:rPr>
          <w:noProof/>
          <w:lang w:eastAsia="pl-PL"/>
        </w:rPr>
        <w:drawing>
          <wp:inline distT="0" distB="0" distL="0" distR="0" wp14:anchorId="2213A4AC" wp14:editId="66A12F57">
            <wp:extent cx="5238750" cy="3436954"/>
            <wp:effectExtent l="19050" t="19050" r="19050" b="11430"/>
            <wp:docPr id="31" name="Obraz 31" descr="C:\Users\KMI.RPN\Desktop\inwent\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MI.RPN\Desktop\inwent\29.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37018" cy="3435818"/>
                    </a:xfrm>
                    <a:prstGeom prst="rect">
                      <a:avLst/>
                    </a:prstGeom>
                    <a:noFill/>
                    <a:ln>
                      <a:solidFill>
                        <a:schemeClr val="accent1"/>
                      </a:solidFill>
                    </a:ln>
                  </pic:spPr>
                </pic:pic>
              </a:graphicData>
            </a:graphic>
          </wp:inline>
        </w:drawing>
      </w:r>
    </w:p>
    <w:p w:rsidR="00DE4488" w:rsidRDefault="00DE4488" w:rsidP="00FD69CD">
      <w:pPr>
        <w:pStyle w:val="Akapitzlist"/>
        <w:jc w:val="both"/>
      </w:pPr>
    </w:p>
    <w:p w:rsidR="00DE4488" w:rsidRDefault="00DE4488" w:rsidP="008E00BB">
      <w:pPr>
        <w:pStyle w:val="Akapitzlist"/>
        <w:jc w:val="center"/>
      </w:pPr>
      <w:r>
        <w:rPr>
          <w:noProof/>
          <w:lang w:eastAsia="pl-PL"/>
        </w:rPr>
        <w:lastRenderedPageBreak/>
        <w:drawing>
          <wp:inline distT="0" distB="0" distL="0" distR="0" wp14:anchorId="50A1FE6C" wp14:editId="71AA6746">
            <wp:extent cx="4048125" cy="1228725"/>
            <wp:effectExtent l="19050" t="19050" r="28575" b="28575"/>
            <wp:docPr id="32" name="Obraz 32" descr="C:\Users\KMI.RPN\Desktop\inwent\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MI.RPN\Desktop\inwent\3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48125" cy="1228725"/>
                    </a:xfrm>
                    <a:prstGeom prst="rect">
                      <a:avLst/>
                    </a:prstGeom>
                    <a:noFill/>
                    <a:ln>
                      <a:solidFill>
                        <a:schemeClr val="accent1"/>
                      </a:solidFill>
                    </a:ln>
                  </pic:spPr>
                </pic:pic>
              </a:graphicData>
            </a:graphic>
          </wp:inline>
        </w:drawing>
      </w:r>
    </w:p>
    <w:p w:rsidR="00DE4488" w:rsidRDefault="00DE4488" w:rsidP="00FD69CD">
      <w:pPr>
        <w:pStyle w:val="Akapitzlist"/>
        <w:jc w:val="both"/>
      </w:pPr>
    </w:p>
    <w:p w:rsidR="00DE4488" w:rsidRDefault="00DE4488" w:rsidP="008E00BB">
      <w:pPr>
        <w:pStyle w:val="Akapitzlist"/>
        <w:jc w:val="center"/>
      </w:pPr>
      <w:r>
        <w:rPr>
          <w:noProof/>
          <w:lang w:eastAsia="pl-PL"/>
        </w:rPr>
        <w:drawing>
          <wp:inline distT="0" distB="0" distL="0" distR="0" wp14:anchorId="3148D3CE" wp14:editId="51F2448D">
            <wp:extent cx="4010025" cy="1257300"/>
            <wp:effectExtent l="19050" t="19050" r="28575" b="19050"/>
            <wp:docPr id="33" name="Obraz 33" descr="C:\Users\KMI.RPN\Desktop\inwen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MI.RPN\Desktop\inwent\3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10025" cy="1257300"/>
                    </a:xfrm>
                    <a:prstGeom prst="rect">
                      <a:avLst/>
                    </a:prstGeom>
                    <a:noFill/>
                    <a:ln>
                      <a:solidFill>
                        <a:schemeClr val="accent1"/>
                      </a:solidFill>
                    </a:ln>
                  </pic:spPr>
                </pic:pic>
              </a:graphicData>
            </a:graphic>
          </wp:inline>
        </w:drawing>
      </w:r>
    </w:p>
    <w:p w:rsidR="00DE4488" w:rsidRDefault="00DE4488" w:rsidP="00FD69CD">
      <w:pPr>
        <w:pStyle w:val="Akapitzlist"/>
        <w:jc w:val="both"/>
      </w:pPr>
    </w:p>
    <w:p w:rsidR="00846A22" w:rsidRDefault="00846A22" w:rsidP="00FD69CD">
      <w:pPr>
        <w:pStyle w:val="Akapitzlist"/>
        <w:numPr>
          <w:ilvl w:val="0"/>
          <w:numId w:val="8"/>
        </w:numPr>
        <w:jc w:val="both"/>
      </w:pPr>
      <w:r>
        <w:t>Korzystając z ikony „Lista arkuszy inwentaryzacji” otwórz wygenerowany „Arkusz różnicowy”. Następnie dołącz „Arkusz różnicowy” do inwentaryzacji.</w:t>
      </w:r>
    </w:p>
    <w:p w:rsidR="00846A22" w:rsidRDefault="00846A22" w:rsidP="008E00BB">
      <w:pPr>
        <w:pStyle w:val="Akapitzlist"/>
        <w:jc w:val="center"/>
      </w:pPr>
      <w:r>
        <w:rPr>
          <w:noProof/>
          <w:lang w:eastAsia="pl-PL"/>
        </w:rPr>
        <w:drawing>
          <wp:inline distT="0" distB="0" distL="0" distR="0" wp14:anchorId="563CB056" wp14:editId="7145A848">
            <wp:extent cx="723900" cy="600075"/>
            <wp:effectExtent l="19050" t="19050" r="19050" b="28575"/>
            <wp:docPr id="34" name="Obraz 34" descr="C:\Users\KMI.RPN\Desktop\inwent\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MI.RPN\Desktop\inwent\3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3900" cy="600075"/>
                    </a:xfrm>
                    <a:prstGeom prst="rect">
                      <a:avLst/>
                    </a:prstGeom>
                    <a:noFill/>
                    <a:ln>
                      <a:solidFill>
                        <a:schemeClr val="accent1"/>
                      </a:solidFill>
                    </a:ln>
                  </pic:spPr>
                </pic:pic>
              </a:graphicData>
            </a:graphic>
          </wp:inline>
        </w:drawing>
      </w:r>
    </w:p>
    <w:p w:rsidR="00846A22" w:rsidRDefault="00846A22" w:rsidP="00FD69CD">
      <w:pPr>
        <w:pStyle w:val="Akapitzlist"/>
        <w:jc w:val="both"/>
      </w:pPr>
      <w:r>
        <w:rPr>
          <w:noProof/>
          <w:lang w:eastAsia="pl-PL"/>
        </w:rPr>
        <w:drawing>
          <wp:inline distT="0" distB="0" distL="0" distR="0" wp14:anchorId="1855D895" wp14:editId="30627A83">
            <wp:extent cx="5276850" cy="2318071"/>
            <wp:effectExtent l="19050" t="19050" r="19050" b="25400"/>
            <wp:docPr id="35" name="Obraz 35" descr="C:\Users\KMI.RPN\Desktop\inwent\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MI.RPN\Desktop\inwent\3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5106" cy="2317305"/>
                    </a:xfrm>
                    <a:prstGeom prst="rect">
                      <a:avLst/>
                    </a:prstGeom>
                    <a:noFill/>
                    <a:ln>
                      <a:solidFill>
                        <a:schemeClr val="accent1"/>
                      </a:solidFill>
                    </a:ln>
                  </pic:spPr>
                </pic:pic>
              </a:graphicData>
            </a:graphic>
          </wp:inline>
        </w:drawing>
      </w:r>
    </w:p>
    <w:p w:rsidR="00846A22" w:rsidRDefault="00846A22" w:rsidP="00FD69CD">
      <w:pPr>
        <w:pStyle w:val="Akapitzlist"/>
        <w:jc w:val="both"/>
      </w:pPr>
    </w:p>
    <w:p w:rsidR="00846A22" w:rsidRDefault="00846A22" w:rsidP="00FD69CD">
      <w:pPr>
        <w:pStyle w:val="Akapitzlist"/>
        <w:numPr>
          <w:ilvl w:val="0"/>
          <w:numId w:val="8"/>
        </w:numPr>
        <w:jc w:val="both"/>
      </w:pPr>
      <w:r>
        <w:t>Wróć do dokumentu inwentaryzacji i przy pomocy ikon paska zadań wybierz „Odśwież pozycje” a następnie „Przelicz”. Dokument inwentaryzacji zostanie uzupełniony wartościami z arkuszy spisowych.</w:t>
      </w:r>
    </w:p>
    <w:p w:rsidR="00846A22" w:rsidRDefault="00846A22" w:rsidP="008E00BB">
      <w:pPr>
        <w:pStyle w:val="Akapitzlist"/>
        <w:jc w:val="center"/>
      </w:pPr>
      <w:r>
        <w:rPr>
          <w:noProof/>
          <w:lang w:eastAsia="pl-PL"/>
        </w:rPr>
        <w:drawing>
          <wp:inline distT="0" distB="0" distL="0" distR="0" wp14:anchorId="4D02B7C6" wp14:editId="7C510C01">
            <wp:extent cx="876300" cy="628650"/>
            <wp:effectExtent l="19050" t="19050" r="19050" b="19050"/>
            <wp:docPr id="36" name="Obraz 36" descr="C:\Users\KMI.RPN\Desktop\inwent\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MI.RPN\Desktop\inwent\3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76300" cy="628650"/>
                    </a:xfrm>
                    <a:prstGeom prst="rect">
                      <a:avLst/>
                    </a:prstGeom>
                    <a:noFill/>
                    <a:ln>
                      <a:solidFill>
                        <a:schemeClr val="accent1"/>
                      </a:solidFill>
                    </a:ln>
                  </pic:spPr>
                </pic:pic>
              </a:graphicData>
            </a:graphic>
          </wp:inline>
        </w:drawing>
      </w:r>
    </w:p>
    <w:p w:rsidR="00846A22" w:rsidRDefault="00846A22" w:rsidP="00FD69CD">
      <w:pPr>
        <w:pStyle w:val="Akapitzlist"/>
        <w:jc w:val="both"/>
      </w:pPr>
    </w:p>
    <w:p w:rsidR="00846A22" w:rsidRDefault="00846A22" w:rsidP="008E00BB">
      <w:pPr>
        <w:pStyle w:val="Akapitzlist"/>
        <w:jc w:val="center"/>
      </w:pPr>
      <w:r>
        <w:rPr>
          <w:noProof/>
          <w:lang w:eastAsia="pl-PL"/>
        </w:rPr>
        <w:drawing>
          <wp:inline distT="0" distB="0" distL="0" distR="0" wp14:anchorId="4C4683D7" wp14:editId="483CA426">
            <wp:extent cx="714375" cy="609600"/>
            <wp:effectExtent l="19050" t="19050" r="28575" b="19050"/>
            <wp:docPr id="37" name="Obraz 37" descr="C:\Users\KMI.RPN\Desktop\inwent\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MI.RPN\Desktop\inwent\3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14375" cy="609600"/>
                    </a:xfrm>
                    <a:prstGeom prst="rect">
                      <a:avLst/>
                    </a:prstGeom>
                    <a:noFill/>
                    <a:ln>
                      <a:solidFill>
                        <a:schemeClr val="accent1"/>
                      </a:solidFill>
                    </a:ln>
                  </pic:spPr>
                </pic:pic>
              </a:graphicData>
            </a:graphic>
          </wp:inline>
        </w:drawing>
      </w:r>
    </w:p>
    <w:p w:rsidR="00846A22" w:rsidRDefault="00846A22" w:rsidP="00FD69CD">
      <w:pPr>
        <w:pStyle w:val="Akapitzlist"/>
        <w:jc w:val="both"/>
      </w:pPr>
    </w:p>
    <w:p w:rsidR="00846A22" w:rsidRDefault="00846A22" w:rsidP="00FD69CD">
      <w:pPr>
        <w:pStyle w:val="Akapitzlist"/>
        <w:jc w:val="both"/>
      </w:pPr>
      <w:r>
        <w:rPr>
          <w:noProof/>
          <w:lang w:eastAsia="pl-PL"/>
        </w:rPr>
        <w:drawing>
          <wp:inline distT="0" distB="0" distL="0" distR="0" wp14:anchorId="597225DD" wp14:editId="0B2363E2">
            <wp:extent cx="5276850" cy="3430215"/>
            <wp:effectExtent l="19050" t="19050" r="19050" b="18415"/>
            <wp:docPr id="38" name="Obraz 38" descr="C:\Users\KMI.RPN\Desktop\inwent\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MI.RPN\Desktop\inwent\36.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8866" cy="3431525"/>
                    </a:xfrm>
                    <a:prstGeom prst="rect">
                      <a:avLst/>
                    </a:prstGeom>
                    <a:noFill/>
                    <a:ln>
                      <a:solidFill>
                        <a:schemeClr val="accent1"/>
                      </a:solidFill>
                    </a:ln>
                  </pic:spPr>
                </pic:pic>
              </a:graphicData>
            </a:graphic>
          </wp:inline>
        </w:drawing>
      </w:r>
    </w:p>
    <w:p w:rsidR="00846A22" w:rsidRDefault="00846A22" w:rsidP="00FD69CD">
      <w:pPr>
        <w:pStyle w:val="Akapitzlist"/>
        <w:jc w:val="both"/>
      </w:pPr>
      <w:r>
        <w:rPr>
          <w:noProof/>
          <w:lang w:eastAsia="pl-PL"/>
        </w:rPr>
        <w:drawing>
          <wp:inline distT="0" distB="0" distL="0" distR="0" wp14:anchorId="67BB8B59" wp14:editId="20DDC2A8">
            <wp:extent cx="5334000" cy="1099428"/>
            <wp:effectExtent l="19050" t="19050" r="19050" b="24765"/>
            <wp:docPr id="39" name="Obraz 39" descr="C:\Users\KMI.RPN\Desktop\inwent\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MI.RPN\Desktop\inwent\37.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32237" cy="1099065"/>
                    </a:xfrm>
                    <a:prstGeom prst="rect">
                      <a:avLst/>
                    </a:prstGeom>
                    <a:noFill/>
                    <a:ln>
                      <a:solidFill>
                        <a:schemeClr val="accent1"/>
                      </a:solidFill>
                    </a:ln>
                  </pic:spPr>
                </pic:pic>
              </a:graphicData>
            </a:graphic>
          </wp:inline>
        </w:drawing>
      </w:r>
    </w:p>
    <w:p w:rsidR="00846A22" w:rsidRDefault="00846A22" w:rsidP="00FD69CD">
      <w:pPr>
        <w:pStyle w:val="Akapitzlist"/>
        <w:numPr>
          <w:ilvl w:val="0"/>
          <w:numId w:val="8"/>
        </w:numPr>
        <w:jc w:val="both"/>
      </w:pPr>
      <w:r>
        <w:t>Wydrukuj „Rozliczenie inwentaryzacji” i zweryfikuj ewentualne niedobory i nadwyżki.</w:t>
      </w:r>
    </w:p>
    <w:p w:rsidR="00846A22" w:rsidRDefault="00846A22" w:rsidP="00FD69CD">
      <w:pPr>
        <w:pStyle w:val="Akapitzlist"/>
        <w:jc w:val="both"/>
      </w:pPr>
    </w:p>
    <w:p w:rsidR="00846A22" w:rsidRDefault="00846A22" w:rsidP="00FD69CD">
      <w:pPr>
        <w:pStyle w:val="Akapitzlist"/>
        <w:jc w:val="both"/>
      </w:pPr>
      <w:r>
        <w:rPr>
          <w:noProof/>
          <w:lang w:eastAsia="pl-PL"/>
        </w:rPr>
        <w:drawing>
          <wp:inline distT="0" distB="0" distL="0" distR="0" wp14:anchorId="76815B07" wp14:editId="5B8E1DFE">
            <wp:extent cx="5334000" cy="1526137"/>
            <wp:effectExtent l="19050" t="19050" r="19050" b="17145"/>
            <wp:docPr id="40" name="Obraz 40" descr="C:\Users\KMI.RPN\Desktop\inwent\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MI.RPN\Desktop\inwent\3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35305" cy="1526510"/>
                    </a:xfrm>
                    <a:prstGeom prst="rect">
                      <a:avLst/>
                    </a:prstGeom>
                    <a:noFill/>
                    <a:ln>
                      <a:solidFill>
                        <a:schemeClr val="accent1"/>
                      </a:solidFill>
                    </a:ln>
                  </pic:spPr>
                </pic:pic>
              </a:graphicData>
            </a:graphic>
          </wp:inline>
        </w:drawing>
      </w:r>
    </w:p>
    <w:p w:rsidR="00846A22" w:rsidRDefault="00846A22" w:rsidP="00FD69CD">
      <w:pPr>
        <w:pStyle w:val="Akapitzlist"/>
        <w:jc w:val="both"/>
      </w:pPr>
    </w:p>
    <w:p w:rsidR="00846A22" w:rsidRDefault="00846A22" w:rsidP="00FD69CD">
      <w:pPr>
        <w:pStyle w:val="Akapitzlist"/>
        <w:jc w:val="both"/>
      </w:pPr>
      <w:r>
        <w:rPr>
          <w:noProof/>
          <w:lang w:eastAsia="pl-PL"/>
        </w:rPr>
        <w:lastRenderedPageBreak/>
        <w:drawing>
          <wp:inline distT="0" distB="0" distL="0" distR="0" wp14:anchorId="76217C40" wp14:editId="7DA8A16D">
            <wp:extent cx="5334000" cy="1910861"/>
            <wp:effectExtent l="19050" t="19050" r="19050" b="13335"/>
            <wp:docPr id="41" name="Obraz 41" descr="C:\Users\KMI.RPN\Desktop\inwent\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MI.RPN\Desktop\inwent\3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2237" cy="1910229"/>
                    </a:xfrm>
                    <a:prstGeom prst="rect">
                      <a:avLst/>
                    </a:prstGeom>
                    <a:noFill/>
                    <a:ln>
                      <a:solidFill>
                        <a:schemeClr val="accent1"/>
                      </a:solidFill>
                    </a:ln>
                  </pic:spPr>
                </pic:pic>
              </a:graphicData>
            </a:graphic>
          </wp:inline>
        </w:drawing>
      </w:r>
    </w:p>
    <w:p w:rsidR="00846A22" w:rsidRDefault="00846A22" w:rsidP="00FD69CD">
      <w:pPr>
        <w:pStyle w:val="Akapitzlist"/>
        <w:jc w:val="both"/>
      </w:pPr>
    </w:p>
    <w:p w:rsidR="00846A22" w:rsidRDefault="00846A22" w:rsidP="00FD69CD">
      <w:pPr>
        <w:pStyle w:val="Akapitzlist"/>
        <w:numPr>
          <w:ilvl w:val="0"/>
          <w:numId w:val="8"/>
        </w:numPr>
        <w:jc w:val="both"/>
      </w:pPr>
      <w:r>
        <w:t>Gdyby</w:t>
      </w:r>
      <w:r w:rsidR="005C3EC3">
        <w:t xml:space="preserve"> się okazało, że w skutek błędu bądź to dokonujących spisu z natury, bądź przepisującego wyniki zliczania do Arkusza spisu w systemie Simple, któraś z pozycji wymagałaby poprawy wówczas należy odpiąć od inwentaryzacji Arkusz spisowy zawierający błędną pozycję i nanieść w nim poprawki. </w:t>
      </w:r>
    </w:p>
    <w:p w:rsidR="008E00BB" w:rsidRDefault="005C3EC3" w:rsidP="008E00BB">
      <w:pPr>
        <w:pStyle w:val="Akapitzlist"/>
        <w:numPr>
          <w:ilvl w:val="0"/>
          <w:numId w:val="8"/>
        </w:numPr>
        <w:jc w:val="both"/>
      </w:pPr>
      <w:r>
        <w:t>Aby ustalić na którym z arkuszy została umieszczona błędna pozycja należy posłużyć się ikoną „Powiązania dokumentów”. Okno powiązania wskaże numer arkusz i numer pozycji</w:t>
      </w:r>
      <w:r w:rsidR="008E00BB">
        <w:t>.</w:t>
      </w:r>
    </w:p>
    <w:p w:rsidR="008E00BB" w:rsidRDefault="008E00BB" w:rsidP="008E00BB">
      <w:pPr>
        <w:pStyle w:val="Akapitzlist"/>
      </w:pPr>
    </w:p>
    <w:p w:rsidR="005C3EC3" w:rsidRDefault="005C3EC3" w:rsidP="008E00BB">
      <w:pPr>
        <w:pStyle w:val="Akapitzlist"/>
        <w:jc w:val="center"/>
      </w:pPr>
      <w:r>
        <w:rPr>
          <w:noProof/>
          <w:lang w:eastAsia="pl-PL"/>
        </w:rPr>
        <w:drawing>
          <wp:inline distT="0" distB="0" distL="0" distR="0" wp14:anchorId="4853C4C1" wp14:editId="50AFF5AE">
            <wp:extent cx="1266825" cy="695325"/>
            <wp:effectExtent l="19050" t="19050" r="28575" b="28575"/>
            <wp:docPr id="42" name="Obraz 42" descr="C:\Users\KMI.RPN\Desktop\inwen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MI.RPN\Desktop\inwent\4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66825" cy="695325"/>
                    </a:xfrm>
                    <a:prstGeom prst="rect">
                      <a:avLst/>
                    </a:prstGeom>
                    <a:noFill/>
                    <a:ln>
                      <a:solidFill>
                        <a:schemeClr val="accent1"/>
                      </a:solidFill>
                    </a:ln>
                  </pic:spPr>
                </pic:pic>
              </a:graphicData>
            </a:graphic>
          </wp:inline>
        </w:drawing>
      </w:r>
    </w:p>
    <w:p w:rsidR="005C3EC3" w:rsidRDefault="005C3EC3" w:rsidP="00FD69CD">
      <w:pPr>
        <w:pStyle w:val="Akapitzlist"/>
        <w:jc w:val="both"/>
      </w:pPr>
      <w:r>
        <w:rPr>
          <w:noProof/>
          <w:lang w:eastAsia="pl-PL"/>
        </w:rPr>
        <w:drawing>
          <wp:inline distT="0" distB="0" distL="0" distR="0" wp14:anchorId="59BD7743" wp14:editId="54951F54">
            <wp:extent cx="5419725" cy="2393265"/>
            <wp:effectExtent l="19050" t="19050" r="9525" b="26670"/>
            <wp:docPr id="43" name="Obraz 43" descr="C:\Users\KMI.RPN\Desktop\inwent\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MI.RPN\Desktop\inwent\4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21149" cy="2393894"/>
                    </a:xfrm>
                    <a:prstGeom prst="rect">
                      <a:avLst/>
                    </a:prstGeom>
                    <a:noFill/>
                    <a:ln>
                      <a:solidFill>
                        <a:schemeClr val="accent1"/>
                      </a:solidFill>
                    </a:ln>
                  </pic:spPr>
                </pic:pic>
              </a:graphicData>
            </a:graphic>
          </wp:inline>
        </w:drawing>
      </w:r>
    </w:p>
    <w:p w:rsidR="005C3EC3" w:rsidRDefault="005C3EC3" w:rsidP="00FD69CD">
      <w:pPr>
        <w:pStyle w:val="Akapitzlist"/>
        <w:jc w:val="both"/>
      </w:pPr>
    </w:p>
    <w:p w:rsidR="005C3EC3" w:rsidRDefault="005C3EC3" w:rsidP="008E00BB">
      <w:pPr>
        <w:pStyle w:val="Akapitzlist"/>
        <w:jc w:val="center"/>
      </w:pPr>
      <w:r>
        <w:rPr>
          <w:noProof/>
          <w:lang w:eastAsia="pl-PL"/>
        </w:rPr>
        <w:lastRenderedPageBreak/>
        <w:drawing>
          <wp:inline distT="0" distB="0" distL="0" distR="0" wp14:anchorId="77DFB91F" wp14:editId="5CCDD1C5">
            <wp:extent cx="3771900" cy="4457700"/>
            <wp:effectExtent l="19050" t="19050" r="19050" b="19050"/>
            <wp:docPr id="44" name="Obraz 44" descr="C:\Users\KMI.RPN\Desktop\inwent\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MI.RPN\Desktop\inwent\4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71900" cy="4457700"/>
                    </a:xfrm>
                    <a:prstGeom prst="rect">
                      <a:avLst/>
                    </a:prstGeom>
                    <a:noFill/>
                    <a:ln>
                      <a:solidFill>
                        <a:schemeClr val="accent1"/>
                      </a:solidFill>
                    </a:ln>
                  </pic:spPr>
                </pic:pic>
              </a:graphicData>
            </a:graphic>
          </wp:inline>
        </w:drawing>
      </w:r>
    </w:p>
    <w:p w:rsidR="005C3EC3" w:rsidRDefault="005C3EC3" w:rsidP="00FD69CD">
      <w:pPr>
        <w:pStyle w:val="Akapitzlist"/>
        <w:jc w:val="both"/>
      </w:pPr>
    </w:p>
    <w:p w:rsidR="005C3EC3" w:rsidRDefault="006A7CBB" w:rsidP="00FD69CD">
      <w:pPr>
        <w:pStyle w:val="Akapitzlist"/>
        <w:numPr>
          <w:ilvl w:val="0"/>
          <w:numId w:val="8"/>
        </w:numPr>
        <w:jc w:val="both"/>
      </w:pPr>
      <w:r>
        <w:t>Wybrany Arkusz należy odpiąć od inwentaryzacji  wybierając z paska narzędzi ikonę „Odłącz arkusz”.</w:t>
      </w:r>
    </w:p>
    <w:p w:rsidR="006A7CBB" w:rsidRDefault="006A7CBB" w:rsidP="008E00BB">
      <w:pPr>
        <w:pStyle w:val="Akapitzlist"/>
        <w:jc w:val="center"/>
      </w:pPr>
      <w:r>
        <w:rPr>
          <w:noProof/>
          <w:lang w:eastAsia="pl-PL"/>
        </w:rPr>
        <w:drawing>
          <wp:inline distT="0" distB="0" distL="0" distR="0" wp14:anchorId="5EF567FA" wp14:editId="07A2D3DD">
            <wp:extent cx="1028700" cy="742950"/>
            <wp:effectExtent l="19050" t="19050" r="19050" b="19050"/>
            <wp:docPr id="45" name="Obraz 45" descr="C:\Users\KMI.RPN\Desktop\inwent\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MI.RPN\Desktop\inwent\4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28700" cy="742950"/>
                    </a:xfrm>
                    <a:prstGeom prst="rect">
                      <a:avLst/>
                    </a:prstGeom>
                    <a:noFill/>
                    <a:ln>
                      <a:solidFill>
                        <a:schemeClr val="accent1"/>
                      </a:solidFill>
                    </a:ln>
                  </pic:spPr>
                </pic:pic>
              </a:graphicData>
            </a:graphic>
          </wp:inline>
        </w:drawing>
      </w:r>
    </w:p>
    <w:p w:rsidR="006A7CBB" w:rsidRDefault="006A7CBB" w:rsidP="00FD69CD">
      <w:pPr>
        <w:pStyle w:val="Akapitzlist"/>
        <w:jc w:val="both"/>
      </w:pPr>
      <w:r>
        <w:rPr>
          <w:noProof/>
          <w:lang w:eastAsia="pl-PL"/>
        </w:rPr>
        <w:lastRenderedPageBreak/>
        <w:drawing>
          <wp:inline distT="0" distB="0" distL="0" distR="0" wp14:anchorId="0CA68A4C" wp14:editId="6C14443F">
            <wp:extent cx="5199711" cy="3267075"/>
            <wp:effectExtent l="19050" t="19050" r="20320" b="9525"/>
            <wp:docPr id="46" name="Obraz 46" descr="C:\Users\KMI.RPN\Desktop\inwent\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MI.RPN\Desktop\inwent\45.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99807" cy="3267135"/>
                    </a:xfrm>
                    <a:prstGeom prst="rect">
                      <a:avLst/>
                    </a:prstGeom>
                    <a:noFill/>
                    <a:ln>
                      <a:solidFill>
                        <a:schemeClr val="accent1"/>
                      </a:solidFill>
                    </a:ln>
                  </pic:spPr>
                </pic:pic>
              </a:graphicData>
            </a:graphic>
          </wp:inline>
        </w:drawing>
      </w:r>
    </w:p>
    <w:p w:rsidR="006A7CBB" w:rsidRDefault="006A7CBB" w:rsidP="00FD69CD">
      <w:pPr>
        <w:pStyle w:val="Akapitzlist"/>
        <w:jc w:val="both"/>
      </w:pPr>
    </w:p>
    <w:p w:rsidR="006A7CBB" w:rsidRDefault="006A7CBB" w:rsidP="008E00BB">
      <w:pPr>
        <w:pStyle w:val="Akapitzlist"/>
        <w:jc w:val="center"/>
      </w:pPr>
      <w:r>
        <w:rPr>
          <w:noProof/>
          <w:lang w:eastAsia="pl-PL"/>
        </w:rPr>
        <w:drawing>
          <wp:inline distT="0" distB="0" distL="0" distR="0" wp14:anchorId="608B1F65" wp14:editId="54403EEE">
            <wp:extent cx="5200650" cy="2961552"/>
            <wp:effectExtent l="19050" t="19050" r="19050" b="10795"/>
            <wp:docPr id="47" name="Obraz 47" descr="C:\Users\KMI.RPN\Desktop\inwent\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MI.RPN\Desktop\inwent\4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6823" cy="2965067"/>
                    </a:xfrm>
                    <a:prstGeom prst="rect">
                      <a:avLst/>
                    </a:prstGeom>
                    <a:noFill/>
                    <a:ln>
                      <a:solidFill>
                        <a:schemeClr val="accent1"/>
                      </a:solidFill>
                    </a:ln>
                  </pic:spPr>
                </pic:pic>
              </a:graphicData>
            </a:graphic>
          </wp:inline>
        </w:drawing>
      </w:r>
    </w:p>
    <w:p w:rsidR="006A7CBB" w:rsidRDefault="006A7CBB" w:rsidP="00FD69CD">
      <w:pPr>
        <w:pStyle w:val="Akapitzlist"/>
        <w:jc w:val="both"/>
      </w:pPr>
    </w:p>
    <w:p w:rsidR="006A7CBB" w:rsidRDefault="006A7CBB" w:rsidP="00FD69CD">
      <w:pPr>
        <w:pStyle w:val="Akapitzlist"/>
        <w:numPr>
          <w:ilvl w:val="0"/>
          <w:numId w:val="8"/>
        </w:numPr>
        <w:jc w:val="both"/>
      </w:pPr>
      <w:r>
        <w:t>Po naniesieniu wszystkich poprawek, arkusze należy ponownie dołączyć, a następnie odświeżyć pozycje inwentaryzacji i ponownie ją przeliczyć.</w:t>
      </w:r>
    </w:p>
    <w:p w:rsidR="006A7CBB" w:rsidRDefault="006A7CBB" w:rsidP="00FD69CD">
      <w:pPr>
        <w:pStyle w:val="Akapitzlist"/>
        <w:numPr>
          <w:ilvl w:val="0"/>
          <w:numId w:val="8"/>
        </w:numPr>
        <w:jc w:val="both"/>
      </w:pPr>
      <w:r>
        <w:t>Mając pewność co do zakończenia działań wykluczających błędy inwentaryzację należy zatwierdzić korzystając z ikony „Zatwierdź”.</w:t>
      </w:r>
    </w:p>
    <w:p w:rsidR="006A7CBB" w:rsidRDefault="006A7CBB" w:rsidP="008E00BB">
      <w:pPr>
        <w:pStyle w:val="Akapitzlist"/>
        <w:jc w:val="center"/>
      </w:pPr>
      <w:r>
        <w:rPr>
          <w:noProof/>
          <w:lang w:eastAsia="pl-PL"/>
        </w:rPr>
        <w:drawing>
          <wp:inline distT="0" distB="0" distL="0" distR="0" wp14:anchorId="3FBB171D" wp14:editId="07728789">
            <wp:extent cx="1095375" cy="714375"/>
            <wp:effectExtent l="19050" t="19050" r="28575" b="28575"/>
            <wp:docPr id="48" name="Obraz 48" descr="C:\Users\KMI.RPN\Desktop\inwent\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MI.RPN\Desktop\inwent\47.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95375" cy="714375"/>
                    </a:xfrm>
                    <a:prstGeom prst="rect">
                      <a:avLst/>
                    </a:prstGeom>
                    <a:noFill/>
                    <a:ln>
                      <a:solidFill>
                        <a:schemeClr val="accent1"/>
                      </a:solidFill>
                    </a:ln>
                  </pic:spPr>
                </pic:pic>
              </a:graphicData>
            </a:graphic>
          </wp:inline>
        </w:drawing>
      </w:r>
    </w:p>
    <w:p w:rsidR="006A7CBB" w:rsidRDefault="006A7CBB" w:rsidP="008E00BB">
      <w:pPr>
        <w:pStyle w:val="Akapitzlist"/>
        <w:jc w:val="center"/>
      </w:pPr>
      <w:r>
        <w:rPr>
          <w:noProof/>
          <w:lang w:eastAsia="pl-PL"/>
        </w:rPr>
        <w:lastRenderedPageBreak/>
        <w:drawing>
          <wp:inline distT="0" distB="0" distL="0" distR="0" wp14:anchorId="4FC637A2" wp14:editId="025129C8">
            <wp:extent cx="5229225" cy="3099139"/>
            <wp:effectExtent l="19050" t="19050" r="9525" b="25400"/>
            <wp:docPr id="49" name="Obraz 49" descr="C:\Users\KMI.RPN\Desktop\inwent\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MI.RPN\Desktop\inwent\48.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29225" cy="3099139"/>
                    </a:xfrm>
                    <a:prstGeom prst="rect">
                      <a:avLst/>
                    </a:prstGeom>
                    <a:noFill/>
                    <a:ln>
                      <a:solidFill>
                        <a:schemeClr val="accent1"/>
                      </a:solidFill>
                    </a:ln>
                  </pic:spPr>
                </pic:pic>
              </a:graphicData>
            </a:graphic>
          </wp:inline>
        </w:drawing>
      </w:r>
    </w:p>
    <w:p w:rsidR="006A7CBB" w:rsidRDefault="006A7CBB" w:rsidP="00FD69CD">
      <w:pPr>
        <w:pStyle w:val="Akapitzlist"/>
        <w:jc w:val="both"/>
      </w:pPr>
      <w:r>
        <w:rPr>
          <w:noProof/>
          <w:lang w:eastAsia="pl-PL"/>
        </w:rPr>
        <w:drawing>
          <wp:inline distT="0" distB="0" distL="0" distR="0" wp14:anchorId="7EBC8EA8" wp14:editId="22B9BB4C">
            <wp:extent cx="5257800" cy="3363945"/>
            <wp:effectExtent l="19050" t="19050" r="19050" b="27305"/>
            <wp:docPr id="50" name="Obraz 50" descr="C:\Users\KMI.RPN\Desktop\inwent\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MI.RPN\Desktop\inwent\49.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57142" cy="3363524"/>
                    </a:xfrm>
                    <a:prstGeom prst="rect">
                      <a:avLst/>
                    </a:prstGeom>
                    <a:noFill/>
                    <a:ln>
                      <a:solidFill>
                        <a:schemeClr val="accent1"/>
                      </a:solidFill>
                    </a:ln>
                  </pic:spPr>
                </pic:pic>
              </a:graphicData>
            </a:graphic>
          </wp:inline>
        </w:drawing>
      </w:r>
    </w:p>
    <w:p w:rsidR="006A7CBB" w:rsidRDefault="006A7CBB" w:rsidP="00FD69CD">
      <w:pPr>
        <w:pStyle w:val="Akapitzlist"/>
        <w:jc w:val="both"/>
      </w:pPr>
    </w:p>
    <w:p w:rsidR="006A7CBB" w:rsidRDefault="006A7CBB" w:rsidP="00FD69CD">
      <w:pPr>
        <w:pStyle w:val="Akapitzlist"/>
        <w:numPr>
          <w:ilvl w:val="0"/>
          <w:numId w:val="8"/>
        </w:numPr>
        <w:jc w:val="both"/>
      </w:pPr>
      <w:r>
        <w:t>Wydrukuj „Rozliczenie inwentaryzacji”. Tym razem dokument będzie zawierał informacje również o wartości różnic.</w:t>
      </w:r>
    </w:p>
    <w:p w:rsidR="006A7CBB" w:rsidRDefault="006A7CBB" w:rsidP="00FD69CD">
      <w:pPr>
        <w:pStyle w:val="Akapitzlist"/>
        <w:jc w:val="both"/>
      </w:pPr>
      <w:r>
        <w:rPr>
          <w:noProof/>
          <w:lang w:eastAsia="pl-PL"/>
        </w:rPr>
        <w:drawing>
          <wp:inline distT="0" distB="0" distL="0" distR="0" wp14:anchorId="4A530B2E" wp14:editId="6EE0C2DE">
            <wp:extent cx="5210175" cy="1555714"/>
            <wp:effectExtent l="19050" t="19050" r="9525" b="26035"/>
            <wp:docPr id="51" name="Obraz 51" descr="C:\Users\KMI.RPN\Desktop\inwent\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MI.RPN\Desktop\inwent\5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08453" cy="1555200"/>
                    </a:xfrm>
                    <a:prstGeom prst="rect">
                      <a:avLst/>
                    </a:prstGeom>
                    <a:noFill/>
                    <a:ln>
                      <a:solidFill>
                        <a:schemeClr val="accent1"/>
                      </a:solidFill>
                    </a:ln>
                  </pic:spPr>
                </pic:pic>
              </a:graphicData>
            </a:graphic>
          </wp:inline>
        </w:drawing>
      </w:r>
    </w:p>
    <w:p w:rsidR="006B0FD5" w:rsidRDefault="006A7CBB" w:rsidP="00FD69CD">
      <w:pPr>
        <w:pStyle w:val="Akapitzlist"/>
        <w:jc w:val="both"/>
      </w:pPr>
      <w:r>
        <w:rPr>
          <w:noProof/>
          <w:lang w:eastAsia="pl-PL"/>
        </w:rPr>
        <w:lastRenderedPageBreak/>
        <w:drawing>
          <wp:inline distT="0" distB="0" distL="0" distR="0" wp14:anchorId="3FA0B2B6" wp14:editId="12F4D7E5">
            <wp:extent cx="5295900" cy="3458143"/>
            <wp:effectExtent l="19050" t="19050" r="19050" b="28575"/>
            <wp:docPr id="52" name="Obraz 52" descr="C:\Users\KMI.RPN\Desktop\inwent\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MI.RPN\Desktop\inwent\5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94899" cy="3457489"/>
                    </a:xfrm>
                    <a:prstGeom prst="rect">
                      <a:avLst/>
                    </a:prstGeom>
                    <a:noFill/>
                    <a:ln>
                      <a:solidFill>
                        <a:schemeClr val="accent1"/>
                      </a:solidFill>
                    </a:ln>
                  </pic:spPr>
                </pic:pic>
              </a:graphicData>
            </a:graphic>
          </wp:inline>
        </w:drawing>
      </w:r>
    </w:p>
    <w:p w:rsidR="006B0FD5" w:rsidRDefault="006B0FD5" w:rsidP="00FD69CD">
      <w:pPr>
        <w:pStyle w:val="Akapitzlist"/>
        <w:numPr>
          <w:ilvl w:val="0"/>
          <w:numId w:val="8"/>
        </w:numPr>
        <w:jc w:val="both"/>
      </w:pPr>
      <w:r>
        <w:t>W czasie zatwierdzania inwentaryzacji generowane zostają automatycznie dokumenty magazynowe korygujące stany magazynowe zgodnie z różnicami, które wykazała inwentaryzacja.  Dokumenty te można odszukać korzystając z ikony „Powiązania dokumentów” wywołanej z listy dokumentów inwentaryzacji.</w:t>
      </w:r>
    </w:p>
    <w:p w:rsidR="006B0FD5" w:rsidRDefault="006B0FD5" w:rsidP="00FD69CD">
      <w:pPr>
        <w:pStyle w:val="Akapitzlist"/>
        <w:jc w:val="both"/>
      </w:pPr>
      <w:r>
        <w:rPr>
          <w:noProof/>
          <w:lang w:eastAsia="pl-PL"/>
        </w:rPr>
        <w:drawing>
          <wp:inline distT="0" distB="0" distL="0" distR="0" wp14:anchorId="560B359F" wp14:editId="0714EEE7">
            <wp:extent cx="5295900" cy="3482054"/>
            <wp:effectExtent l="19050" t="19050" r="19050" b="23495"/>
            <wp:docPr id="53" name="Obraz 53" descr="C:\Users\KMI.RPN\Desktop\inwent\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MI.RPN\Desktop\inwent\5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94149" cy="3480903"/>
                    </a:xfrm>
                    <a:prstGeom prst="rect">
                      <a:avLst/>
                    </a:prstGeom>
                    <a:noFill/>
                    <a:ln>
                      <a:solidFill>
                        <a:schemeClr val="accent1"/>
                      </a:solidFill>
                    </a:ln>
                  </pic:spPr>
                </pic:pic>
              </a:graphicData>
            </a:graphic>
          </wp:inline>
        </w:drawing>
      </w:r>
    </w:p>
    <w:p w:rsidR="006B0FD5" w:rsidRDefault="006B0FD5" w:rsidP="00FD69CD">
      <w:pPr>
        <w:pStyle w:val="Akapitzlist"/>
        <w:jc w:val="both"/>
      </w:pPr>
    </w:p>
    <w:p w:rsidR="006B0FD5" w:rsidRDefault="006B0FD5" w:rsidP="008E00BB">
      <w:pPr>
        <w:pStyle w:val="Akapitzlist"/>
        <w:jc w:val="center"/>
      </w:pPr>
      <w:r>
        <w:rPr>
          <w:noProof/>
          <w:lang w:eastAsia="pl-PL"/>
        </w:rPr>
        <w:lastRenderedPageBreak/>
        <w:drawing>
          <wp:inline distT="0" distB="0" distL="0" distR="0" wp14:anchorId="491DDB1A" wp14:editId="196B3D5A">
            <wp:extent cx="3790950" cy="4381500"/>
            <wp:effectExtent l="19050" t="19050" r="19050" b="19050"/>
            <wp:docPr id="54" name="Obraz 54" descr="C:\Users\KMI.RPN\Desktop\inwent\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MI.RPN\Desktop\inwent\5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90950" cy="4381500"/>
                    </a:xfrm>
                    <a:prstGeom prst="rect">
                      <a:avLst/>
                    </a:prstGeom>
                    <a:noFill/>
                    <a:ln>
                      <a:solidFill>
                        <a:schemeClr val="accent1"/>
                      </a:solidFill>
                    </a:ln>
                  </pic:spPr>
                </pic:pic>
              </a:graphicData>
            </a:graphic>
          </wp:inline>
        </w:drawing>
      </w:r>
    </w:p>
    <w:p w:rsidR="006A7CBB" w:rsidRDefault="006B0FD5" w:rsidP="00FD69CD">
      <w:pPr>
        <w:pStyle w:val="Akapitzlist"/>
        <w:numPr>
          <w:ilvl w:val="0"/>
          <w:numId w:val="8"/>
        </w:numPr>
        <w:jc w:val="both"/>
      </w:pPr>
      <w:r>
        <w:t xml:space="preserve">Dokumenty różnic inwentaryzacyjnych dostępne są również  </w:t>
      </w:r>
      <w:r w:rsidR="006A7CBB">
        <w:t xml:space="preserve"> </w:t>
      </w:r>
      <w:r>
        <w:t xml:space="preserve">w </w:t>
      </w:r>
      <w:r>
        <w:t xml:space="preserve">Menu pełne / Obrót towarowy / Magazyny / </w:t>
      </w:r>
      <w:r>
        <w:t>Dokumenty magazynowe</w:t>
      </w:r>
      <w:r>
        <w:t xml:space="preserve"> – lista</w:t>
      </w:r>
    </w:p>
    <w:p w:rsidR="006B0FD5" w:rsidRDefault="006B0FD5" w:rsidP="00FD69CD">
      <w:pPr>
        <w:pStyle w:val="Akapitzlist"/>
        <w:jc w:val="both"/>
      </w:pPr>
      <w:r>
        <w:rPr>
          <w:noProof/>
          <w:lang w:eastAsia="pl-PL"/>
        </w:rPr>
        <w:drawing>
          <wp:inline distT="0" distB="0" distL="0" distR="0" wp14:anchorId="421D756B" wp14:editId="7F2E6DE6">
            <wp:extent cx="5229225" cy="3915479"/>
            <wp:effectExtent l="19050" t="19050" r="9525" b="27940"/>
            <wp:docPr id="55" name="Obraz 55" descr="C:\Users\KMI.RPN\Desktop\inwent\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MI.RPN\Desktop\inwent\5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27554" cy="3914228"/>
                    </a:xfrm>
                    <a:prstGeom prst="rect">
                      <a:avLst/>
                    </a:prstGeom>
                    <a:noFill/>
                    <a:ln>
                      <a:solidFill>
                        <a:schemeClr val="accent1"/>
                      </a:solidFill>
                    </a:ln>
                  </pic:spPr>
                </pic:pic>
              </a:graphicData>
            </a:graphic>
          </wp:inline>
        </w:drawing>
      </w:r>
    </w:p>
    <w:p w:rsidR="006B0FD5" w:rsidRDefault="006B0FD5" w:rsidP="00FD69CD">
      <w:pPr>
        <w:pStyle w:val="Akapitzlist"/>
        <w:jc w:val="both"/>
      </w:pPr>
    </w:p>
    <w:p w:rsidR="006B0FD5" w:rsidRDefault="006B0FD5" w:rsidP="00FD69CD">
      <w:pPr>
        <w:pStyle w:val="Akapitzlist"/>
        <w:jc w:val="both"/>
      </w:pPr>
      <w:r>
        <w:rPr>
          <w:noProof/>
          <w:lang w:eastAsia="pl-PL"/>
        </w:rPr>
        <w:drawing>
          <wp:inline distT="0" distB="0" distL="0" distR="0" wp14:anchorId="333AFD34" wp14:editId="7910760D">
            <wp:extent cx="5276850" cy="2753139"/>
            <wp:effectExtent l="19050" t="19050" r="19050" b="28575"/>
            <wp:docPr id="56" name="Obraz 56" descr="C:\Users\KMI.RPN\Desktop\inwent\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KMI.RPN\Desktop\inwent\5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5106" cy="2752229"/>
                    </a:xfrm>
                    <a:prstGeom prst="rect">
                      <a:avLst/>
                    </a:prstGeom>
                    <a:noFill/>
                    <a:ln>
                      <a:solidFill>
                        <a:schemeClr val="accent1"/>
                      </a:solidFill>
                    </a:ln>
                  </pic:spPr>
                </pic:pic>
              </a:graphicData>
            </a:graphic>
          </wp:inline>
        </w:drawing>
      </w:r>
    </w:p>
    <w:p w:rsidR="006B0FD5" w:rsidRDefault="006B0FD5" w:rsidP="00FD69CD">
      <w:pPr>
        <w:pStyle w:val="Akapitzlist"/>
        <w:jc w:val="both"/>
      </w:pPr>
    </w:p>
    <w:p w:rsidR="006B0FD5" w:rsidRDefault="006B0FD5" w:rsidP="00FD69CD">
      <w:pPr>
        <w:pStyle w:val="Akapitzlist"/>
        <w:numPr>
          <w:ilvl w:val="0"/>
          <w:numId w:val="8"/>
        </w:numPr>
        <w:jc w:val="both"/>
      </w:pPr>
      <w:r>
        <w:t>W zależności od uprzedniej konfiguracji parametrów inwentaryzacji dokumenty różnic mogą  wymagać zatwierdzenia. Zatwierdzenie dokumentów różnic kończy proces inwentaryzacji.</w:t>
      </w:r>
    </w:p>
    <w:p w:rsidR="006B0FD5" w:rsidRDefault="006B0FD5" w:rsidP="00FD69CD">
      <w:pPr>
        <w:pStyle w:val="Akapitzlist"/>
        <w:jc w:val="both"/>
      </w:pPr>
    </w:p>
    <w:p w:rsidR="006B0FD5" w:rsidRDefault="006B0FD5" w:rsidP="00FD69CD">
      <w:pPr>
        <w:pStyle w:val="Akapitzlist"/>
        <w:jc w:val="both"/>
      </w:pPr>
      <w:r>
        <w:rPr>
          <w:noProof/>
          <w:lang w:eastAsia="pl-PL"/>
        </w:rPr>
        <w:drawing>
          <wp:inline distT="0" distB="0" distL="0" distR="0" wp14:anchorId="078DB97A" wp14:editId="63112E66">
            <wp:extent cx="5200650" cy="3363019"/>
            <wp:effectExtent l="19050" t="19050" r="19050" b="27940"/>
            <wp:docPr id="57" name="Obraz 57" descr="C:\Users\KMI.RPN\Desktop\inwent\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MI.RPN\Desktop\inwent\56.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01928" cy="3363845"/>
                    </a:xfrm>
                    <a:prstGeom prst="rect">
                      <a:avLst/>
                    </a:prstGeom>
                    <a:noFill/>
                    <a:ln>
                      <a:solidFill>
                        <a:schemeClr val="accent1"/>
                      </a:solidFill>
                    </a:ln>
                  </pic:spPr>
                </pic:pic>
              </a:graphicData>
            </a:graphic>
          </wp:inline>
        </w:drawing>
      </w:r>
    </w:p>
    <w:p w:rsidR="006B0FD5" w:rsidRDefault="006B0FD5" w:rsidP="00FD69CD">
      <w:pPr>
        <w:pStyle w:val="Akapitzlist"/>
        <w:jc w:val="both"/>
      </w:pPr>
    </w:p>
    <w:p w:rsidR="006B0FD5" w:rsidRDefault="006B0FD5" w:rsidP="00FD69CD">
      <w:pPr>
        <w:pStyle w:val="Akapitzlist"/>
        <w:jc w:val="both"/>
      </w:pPr>
      <w:r>
        <w:rPr>
          <w:noProof/>
          <w:lang w:eastAsia="pl-PL"/>
        </w:rPr>
        <w:lastRenderedPageBreak/>
        <w:drawing>
          <wp:inline distT="0" distB="0" distL="0" distR="0" wp14:anchorId="252DD7EC" wp14:editId="6AC13C8B">
            <wp:extent cx="5356389" cy="3276600"/>
            <wp:effectExtent l="19050" t="19050" r="15875" b="19050"/>
            <wp:docPr id="58" name="Obraz 58" descr="C:\Users\KMI.RPN\Desktop\inwent\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KMI.RPN\Desktop\inwent\57.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62126" cy="3280109"/>
                    </a:xfrm>
                    <a:prstGeom prst="rect">
                      <a:avLst/>
                    </a:prstGeom>
                    <a:noFill/>
                    <a:ln>
                      <a:solidFill>
                        <a:schemeClr val="accent1"/>
                      </a:solidFill>
                    </a:ln>
                  </pic:spPr>
                </pic:pic>
              </a:graphicData>
            </a:graphic>
          </wp:inline>
        </w:drawing>
      </w:r>
    </w:p>
    <w:p w:rsidR="006A7CBB" w:rsidRDefault="006A7CBB" w:rsidP="00FD69CD">
      <w:pPr>
        <w:jc w:val="both"/>
      </w:pPr>
    </w:p>
    <w:p w:rsidR="005C3EC3" w:rsidRDefault="005C3EC3" w:rsidP="00FD69CD">
      <w:pPr>
        <w:jc w:val="both"/>
      </w:pPr>
    </w:p>
    <w:p w:rsidR="00067F65" w:rsidRDefault="005C3EC3" w:rsidP="00FD69CD">
      <w:pPr>
        <w:jc w:val="both"/>
      </w:pPr>
      <w:r>
        <w:t xml:space="preserve"> </w:t>
      </w:r>
    </w:p>
    <w:sectPr w:rsidR="00067F65">
      <w:footerReference w:type="default" r:id="rId6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5768" w:rsidRDefault="00255768" w:rsidP="005C3EC3">
      <w:pPr>
        <w:spacing w:after="0" w:line="240" w:lineRule="auto"/>
      </w:pPr>
      <w:r>
        <w:separator/>
      </w:r>
    </w:p>
  </w:endnote>
  <w:endnote w:type="continuationSeparator" w:id="0">
    <w:p w:rsidR="00255768" w:rsidRDefault="00255768" w:rsidP="005C3E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8146517"/>
      <w:docPartObj>
        <w:docPartGallery w:val="Page Numbers (Bottom of Page)"/>
        <w:docPartUnique/>
      </w:docPartObj>
    </w:sdtPr>
    <w:sdtContent>
      <w:p w:rsidR="00FD69CD" w:rsidRDefault="00FD69CD">
        <w:pPr>
          <w:pStyle w:val="Stopka"/>
          <w:jc w:val="right"/>
        </w:pPr>
        <w:r>
          <w:fldChar w:fldCharType="begin"/>
        </w:r>
        <w:r>
          <w:instrText>PAGE   \* MERGEFORMAT</w:instrText>
        </w:r>
        <w:r>
          <w:fldChar w:fldCharType="separate"/>
        </w:r>
        <w:r w:rsidR="00A87914">
          <w:rPr>
            <w:noProof/>
          </w:rPr>
          <w:t>1</w:t>
        </w:r>
        <w:r>
          <w:fldChar w:fldCharType="end"/>
        </w:r>
      </w:p>
    </w:sdtContent>
  </w:sdt>
  <w:p w:rsidR="00FD69CD" w:rsidRDefault="00FD69CD">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5768" w:rsidRDefault="00255768" w:rsidP="005C3EC3">
      <w:pPr>
        <w:spacing w:after="0" w:line="240" w:lineRule="auto"/>
      </w:pPr>
      <w:r>
        <w:separator/>
      </w:r>
    </w:p>
  </w:footnote>
  <w:footnote w:type="continuationSeparator" w:id="0">
    <w:p w:rsidR="00255768" w:rsidRDefault="00255768" w:rsidP="005C3E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071CC"/>
    <w:multiLevelType w:val="hybridMultilevel"/>
    <w:tmpl w:val="604E24C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
    <w:nsid w:val="369A7B0B"/>
    <w:multiLevelType w:val="multilevel"/>
    <w:tmpl w:val="6FAC90C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
    <w:nsid w:val="3E85385B"/>
    <w:multiLevelType w:val="hybridMultilevel"/>
    <w:tmpl w:val="604E24C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nsid w:val="4DFC0E05"/>
    <w:multiLevelType w:val="hybridMultilevel"/>
    <w:tmpl w:val="604E24C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nsid w:val="55A4424B"/>
    <w:multiLevelType w:val="multilevel"/>
    <w:tmpl w:val="CD48C8E8"/>
    <w:lvl w:ilvl="0">
      <w:start w:val="1"/>
      <w:numFmt w:val="bulle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
    <w:nsid w:val="5B0A6B28"/>
    <w:multiLevelType w:val="hybridMultilevel"/>
    <w:tmpl w:val="604E24C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nsid w:val="7C8A03F1"/>
    <w:multiLevelType w:val="multilevel"/>
    <w:tmpl w:val="B2E0E50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6"/>
  </w:num>
  <w:num w:numId="4">
    <w:abstractNumId w:val="5"/>
  </w:num>
  <w:num w:numId="5">
    <w:abstractNumId w:val="2"/>
  </w:num>
  <w:num w:numId="6">
    <w:abstractNumId w:val="1"/>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7D7F"/>
    <w:rsid w:val="00067F65"/>
    <w:rsid w:val="0009228A"/>
    <w:rsid w:val="000F23C8"/>
    <w:rsid w:val="00190F4A"/>
    <w:rsid w:val="00255768"/>
    <w:rsid w:val="0048261C"/>
    <w:rsid w:val="00487D7F"/>
    <w:rsid w:val="00590B95"/>
    <w:rsid w:val="005C3EC3"/>
    <w:rsid w:val="006A7CBB"/>
    <w:rsid w:val="006B0FD5"/>
    <w:rsid w:val="006E4E32"/>
    <w:rsid w:val="00846A22"/>
    <w:rsid w:val="008C5624"/>
    <w:rsid w:val="008E00BB"/>
    <w:rsid w:val="00A144A9"/>
    <w:rsid w:val="00A87914"/>
    <w:rsid w:val="00AC1CD3"/>
    <w:rsid w:val="00B800BE"/>
    <w:rsid w:val="00C85638"/>
    <w:rsid w:val="00CD2EAC"/>
    <w:rsid w:val="00DC5E01"/>
    <w:rsid w:val="00DE4488"/>
    <w:rsid w:val="00E43A30"/>
    <w:rsid w:val="00EF1648"/>
    <w:rsid w:val="00F105CB"/>
    <w:rsid w:val="00FA5302"/>
    <w:rsid w:val="00FD69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487D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D69C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87D7F"/>
    <w:rPr>
      <w:rFonts w:asciiTheme="majorHAnsi" w:eastAsiaTheme="majorEastAsia" w:hAnsiTheme="majorHAnsi" w:cstheme="majorBidi"/>
      <w:b/>
      <w:bCs/>
      <w:color w:val="365F91" w:themeColor="accent1" w:themeShade="BF"/>
      <w:sz w:val="28"/>
      <w:szCs w:val="28"/>
    </w:rPr>
  </w:style>
  <w:style w:type="paragraph" w:styleId="Tytu">
    <w:name w:val="Title"/>
    <w:basedOn w:val="Normalny"/>
    <w:next w:val="Normalny"/>
    <w:link w:val="TytuZnak"/>
    <w:uiPriority w:val="10"/>
    <w:qFormat/>
    <w:rsid w:val="00487D7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487D7F"/>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487D7F"/>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487D7F"/>
    <w:rPr>
      <w:rFonts w:asciiTheme="majorHAnsi" w:eastAsiaTheme="majorEastAsia" w:hAnsiTheme="majorHAnsi" w:cstheme="majorBidi"/>
      <w:i/>
      <w:iCs/>
      <w:color w:val="4F81BD" w:themeColor="accent1"/>
      <w:spacing w:val="15"/>
      <w:sz w:val="24"/>
      <w:szCs w:val="24"/>
    </w:rPr>
  </w:style>
  <w:style w:type="paragraph" w:styleId="Akapitzlist">
    <w:name w:val="List Paragraph"/>
    <w:basedOn w:val="Normalny"/>
    <w:uiPriority w:val="34"/>
    <w:qFormat/>
    <w:rsid w:val="00487D7F"/>
    <w:pPr>
      <w:ind w:left="720"/>
      <w:contextualSpacing/>
    </w:pPr>
  </w:style>
  <w:style w:type="paragraph" w:styleId="Tekstdymka">
    <w:name w:val="Balloon Text"/>
    <w:basedOn w:val="Normalny"/>
    <w:link w:val="TekstdymkaZnak"/>
    <w:uiPriority w:val="99"/>
    <w:semiHidden/>
    <w:unhideWhenUsed/>
    <w:rsid w:val="00487D7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87D7F"/>
    <w:rPr>
      <w:rFonts w:ascii="Tahoma" w:hAnsi="Tahoma" w:cs="Tahoma"/>
      <w:sz w:val="16"/>
      <w:szCs w:val="16"/>
    </w:rPr>
  </w:style>
  <w:style w:type="character" w:styleId="Hipercze">
    <w:name w:val="Hyperlink"/>
    <w:basedOn w:val="Domylnaczcionkaakapitu"/>
    <w:uiPriority w:val="99"/>
    <w:unhideWhenUsed/>
    <w:rsid w:val="00B800BE"/>
    <w:rPr>
      <w:color w:val="0000FF"/>
      <w:u w:val="single"/>
    </w:rPr>
  </w:style>
  <w:style w:type="paragraph" w:customStyle="1" w:styleId="body-text">
    <w:name w:val="body-text"/>
    <w:basedOn w:val="Normalny"/>
    <w:rsid w:val="00A144A9"/>
    <w:pPr>
      <w:spacing w:before="100" w:beforeAutospacing="1" w:after="100" w:afterAutospacing="1" w:line="240" w:lineRule="auto"/>
    </w:pPr>
    <w:rPr>
      <w:rFonts w:ascii="Times New Roman" w:eastAsia="Times New Roman" w:hAnsi="Times New Roman" w:cs="Times New Roman"/>
      <w:color w:val="000000"/>
      <w:sz w:val="24"/>
      <w:szCs w:val="24"/>
      <w:lang w:eastAsia="pl-PL"/>
    </w:rPr>
  </w:style>
  <w:style w:type="paragraph" w:styleId="Tekstprzypisukocowego">
    <w:name w:val="endnote text"/>
    <w:basedOn w:val="Normalny"/>
    <w:link w:val="TekstprzypisukocowegoZnak"/>
    <w:uiPriority w:val="99"/>
    <w:semiHidden/>
    <w:unhideWhenUsed/>
    <w:rsid w:val="005C3EC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5C3EC3"/>
    <w:rPr>
      <w:sz w:val="20"/>
      <w:szCs w:val="20"/>
    </w:rPr>
  </w:style>
  <w:style w:type="character" w:styleId="Odwoanieprzypisukocowego">
    <w:name w:val="endnote reference"/>
    <w:basedOn w:val="Domylnaczcionkaakapitu"/>
    <w:uiPriority w:val="99"/>
    <w:semiHidden/>
    <w:unhideWhenUsed/>
    <w:rsid w:val="005C3EC3"/>
    <w:rPr>
      <w:vertAlign w:val="superscript"/>
    </w:rPr>
  </w:style>
  <w:style w:type="paragraph" w:styleId="Nagwek">
    <w:name w:val="header"/>
    <w:basedOn w:val="Normalny"/>
    <w:link w:val="NagwekZnak"/>
    <w:uiPriority w:val="99"/>
    <w:unhideWhenUsed/>
    <w:rsid w:val="00FD69C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69CD"/>
  </w:style>
  <w:style w:type="paragraph" w:styleId="Stopka">
    <w:name w:val="footer"/>
    <w:basedOn w:val="Normalny"/>
    <w:link w:val="StopkaZnak"/>
    <w:uiPriority w:val="99"/>
    <w:unhideWhenUsed/>
    <w:rsid w:val="00FD69C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69CD"/>
  </w:style>
  <w:style w:type="paragraph" w:styleId="Nagwekspisutreci">
    <w:name w:val="TOC Heading"/>
    <w:basedOn w:val="Nagwek1"/>
    <w:next w:val="Normalny"/>
    <w:uiPriority w:val="39"/>
    <w:semiHidden/>
    <w:unhideWhenUsed/>
    <w:qFormat/>
    <w:rsid w:val="00FD69CD"/>
    <w:pPr>
      <w:outlineLvl w:val="9"/>
    </w:pPr>
    <w:rPr>
      <w:lang w:eastAsia="pl-PL"/>
    </w:rPr>
  </w:style>
  <w:style w:type="paragraph" w:styleId="Spistreci1">
    <w:name w:val="toc 1"/>
    <w:basedOn w:val="Normalny"/>
    <w:next w:val="Normalny"/>
    <w:autoRedefine/>
    <w:uiPriority w:val="39"/>
    <w:unhideWhenUsed/>
    <w:rsid w:val="00FD69CD"/>
    <w:pPr>
      <w:spacing w:after="100"/>
    </w:pPr>
  </w:style>
  <w:style w:type="character" w:customStyle="1" w:styleId="Nagwek2Znak">
    <w:name w:val="Nagłówek 2 Znak"/>
    <w:basedOn w:val="Domylnaczcionkaakapitu"/>
    <w:link w:val="Nagwek2"/>
    <w:uiPriority w:val="9"/>
    <w:rsid w:val="00FD69CD"/>
    <w:rPr>
      <w:rFonts w:asciiTheme="majorHAnsi" w:eastAsiaTheme="majorEastAsia" w:hAnsiTheme="majorHAnsi" w:cstheme="majorBidi"/>
      <w:b/>
      <w:bCs/>
      <w:color w:val="4F81BD" w:themeColor="accent1"/>
      <w:sz w:val="26"/>
      <w:szCs w:val="26"/>
    </w:rPr>
  </w:style>
  <w:style w:type="paragraph" w:styleId="Spistreci2">
    <w:name w:val="toc 2"/>
    <w:basedOn w:val="Normalny"/>
    <w:next w:val="Normalny"/>
    <w:autoRedefine/>
    <w:uiPriority w:val="39"/>
    <w:unhideWhenUsed/>
    <w:rsid w:val="00FD69CD"/>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487D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D69C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87D7F"/>
    <w:rPr>
      <w:rFonts w:asciiTheme="majorHAnsi" w:eastAsiaTheme="majorEastAsia" w:hAnsiTheme="majorHAnsi" w:cstheme="majorBidi"/>
      <w:b/>
      <w:bCs/>
      <w:color w:val="365F91" w:themeColor="accent1" w:themeShade="BF"/>
      <w:sz w:val="28"/>
      <w:szCs w:val="28"/>
    </w:rPr>
  </w:style>
  <w:style w:type="paragraph" w:styleId="Tytu">
    <w:name w:val="Title"/>
    <w:basedOn w:val="Normalny"/>
    <w:next w:val="Normalny"/>
    <w:link w:val="TytuZnak"/>
    <w:uiPriority w:val="10"/>
    <w:qFormat/>
    <w:rsid w:val="00487D7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487D7F"/>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487D7F"/>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487D7F"/>
    <w:rPr>
      <w:rFonts w:asciiTheme="majorHAnsi" w:eastAsiaTheme="majorEastAsia" w:hAnsiTheme="majorHAnsi" w:cstheme="majorBidi"/>
      <w:i/>
      <w:iCs/>
      <w:color w:val="4F81BD" w:themeColor="accent1"/>
      <w:spacing w:val="15"/>
      <w:sz w:val="24"/>
      <w:szCs w:val="24"/>
    </w:rPr>
  </w:style>
  <w:style w:type="paragraph" w:styleId="Akapitzlist">
    <w:name w:val="List Paragraph"/>
    <w:basedOn w:val="Normalny"/>
    <w:uiPriority w:val="34"/>
    <w:qFormat/>
    <w:rsid w:val="00487D7F"/>
    <w:pPr>
      <w:ind w:left="720"/>
      <w:contextualSpacing/>
    </w:pPr>
  </w:style>
  <w:style w:type="paragraph" w:styleId="Tekstdymka">
    <w:name w:val="Balloon Text"/>
    <w:basedOn w:val="Normalny"/>
    <w:link w:val="TekstdymkaZnak"/>
    <w:uiPriority w:val="99"/>
    <w:semiHidden/>
    <w:unhideWhenUsed/>
    <w:rsid w:val="00487D7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87D7F"/>
    <w:rPr>
      <w:rFonts w:ascii="Tahoma" w:hAnsi="Tahoma" w:cs="Tahoma"/>
      <w:sz w:val="16"/>
      <w:szCs w:val="16"/>
    </w:rPr>
  </w:style>
  <w:style w:type="character" w:styleId="Hipercze">
    <w:name w:val="Hyperlink"/>
    <w:basedOn w:val="Domylnaczcionkaakapitu"/>
    <w:uiPriority w:val="99"/>
    <w:unhideWhenUsed/>
    <w:rsid w:val="00B800BE"/>
    <w:rPr>
      <w:color w:val="0000FF"/>
      <w:u w:val="single"/>
    </w:rPr>
  </w:style>
  <w:style w:type="paragraph" w:customStyle="1" w:styleId="body-text">
    <w:name w:val="body-text"/>
    <w:basedOn w:val="Normalny"/>
    <w:rsid w:val="00A144A9"/>
    <w:pPr>
      <w:spacing w:before="100" w:beforeAutospacing="1" w:after="100" w:afterAutospacing="1" w:line="240" w:lineRule="auto"/>
    </w:pPr>
    <w:rPr>
      <w:rFonts w:ascii="Times New Roman" w:eastAsia="Times New Roman" w:hAnsi="Times New Roman" w:cs="Times New Roman"/>
      <w:color w:val="000000"/>
      <w:sz w:val="24"/>
      <w:szCs w:val="24"/>
      <w:lang w:eastAsia="pl-PL"/>
    </w:rPr>
  </w:style>
  <w:style w:type="paragraph" w:styleId="Tekstprzypisukocowego">
    <w:name w:val="endnote text"/>
    <w:basedOn w:val="Normalny"/>
    <w:link w:val="TekstprzypisukocowegoZnak"/>
    <w:uiPriority w:val="99"/>
    <w:semiHidden/>
    <w:unhideWhenUsed/>
    <w:rsid w:val="005C3EC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5C3EC3"/>
    <w:rPr>
      <w:sz w:val="20"/>
      <w:szCs w:val="20"/>
    </w:rPr>
  </w:style>
  <w:style w:type="character" w:styleId="Odwoanieprzypisukocowego">
    <w:name w:val="endnote reference"/>
    <w:basedOn w:val="Domylnaczcionkaakapitu"/>
    <w:uiPriority w:val="99"/>
    <w:semiHidden/>
    <w:unhideWhenUsed/>
    <w:rsid w:val="005C3EC3"/>
    <w:rPr>
      <w:vertAlign w:val="superscript"/>
    </w:rPr>
  </w:style>
  <w:style w:type="paragraph" w:styleId="Nagwek">
    <w:name w:val="header"/>
    <w:basedOn w:val="Normalny"/>
    <w:link w:val="NagwekZnak"/>
    <w:uiPriority w:val="99"/>
    <w:unhideWhenUsed/>
    <w:rsid w:val="00FD69C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69CD"/>
  </w:style>
  <w:style w:type="paragraph" w:styleId="Stopka">
    <w:name w:val="footer"/>
    <w:basedOn w:val="Normalny"/>
    <w:link w:val="StopkaZnak"/>
    <w:uiPriority w:val="99"/>
    <w:unhideWhenUsed/>
    <w:rsid w:val="00FD69C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69CD"/>
  </w:style>
  <w:style w:type="paragraph" w:styleId="Nagwekspisutreci">
    <w:name w:val="TOC Heading"/>
    <w:basedOn w:val="Nagwek1"/>
    <w:next w:val="Normalny"/>
    <w:uiPriority w:val="39"/>
    <w:semiHidden/>
    <w:unhideWhenUsed/>
    <w:qFormat/>
    <w:rsid w:val="00FD69CD"/>
    <w:pPr>
      <w:outlineLvl w:val="9"/>
    </w:pPr>
    <w:rPr>
      <w:lang w:eastAsia="pl-PL"/>
    </w:rPr>
  </w:style>
  <w:style w:type="paragraph" w:styleId="Spistreci1">
    <w:name w:val="toc 1"/>
    <w:basedOn w:val="Normalny"/>
    <w:next w:val="Normalny"/>
    <w:autoRedefine/>
    <w:uiPriority w:val="39"/>
    <w:unhideWhenUsed/>
    <w:rsid w:val="00FD69CD"/>
    <w:pPr>
      <w:spacing w:after="100"/>
    </w:pPr>
  </w:style>
  <w:style w:type="character" w:customStyle="1" w:styleId="Nagwek2Znak">
    <w:name w:val="Nagłówek 2 Znak"/>
    <w:basedOn w:val="Domylnaczcionkaakapitu"/>
    <w:link w:val="Nagwek2"/>
    <w:uiPriority w:val="9"/>
    <w:rsid w:val="00FD69CD"/>
    <w:rPr>
      <w:rFonts w:asciiTheme="majorHAnsi" w:eastAsiaTheme="majorEastAsia" w:hAnsiTheme="majorHAnsi" w:cstheme="majorBidi"/>
      <w:b/>
      <w:bCs/>
      <w:color w:val="4F81BD" w:themeColor="accent1"/>
      <w:sz w:val="26"/>
      <w:szCs w:val="26"/>
    </w:rPr>
  </w:style>
  <w:style w:type="paragraph" w:styleId="Spistreci2">
    <w:name w:val="toc 2"/>
    <w:basedOn w:val="Normalny"/>
    <w:next w:val="Normalny"/>
    <w:autoRedefine/>
    <w:uiPriority w:val="39"/>
    <w:unhideWhenUsed/>
    <w:rsid w:val="00FD69C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022673">
      <w:bodyDiv w:val="1"/>
      <w:marLeft w:val="0"/>
      <w:marRight w:val="0"/>
      <w:marTop w:val="0"/>
      <w:marBottom w:val="0"/>
      <w:divBdr>
        <w:top w:val="none" w:sz="0" w:space="0" w:color="auto"/>
        <w:left w:val="none" w:sz="0" w:space="0" w:color="auto"/>
        <w:bottom w:val="none" w:sz="0" w:space="0" w:color="auto"/>
        <w:right w:val="none" w:sz="0" w:space="0" w:color="auto"/>
      </w:divBdr>
    </w:div>
    <w:div w:id="1444767564">
      <w:bodyDiv w:val="1"/>
      <w:marLeft w:val="0"/>
      <w:marRight w:val="0"/>
      <w:marTop w:val="0"/>
      <w:marBottom w:val="0"/>
      <w:divBdr>
        <w:top w:val="none" w:sz="0" w:space="0" w:color="auto"/>
        <w:left w:val="none" w:sz="0" w:space="0" w:color="auto"/>
        <w:bottom w:val="none" w:sz="0" w:space="0" w:color="auto"/>
        <w:right w:val="none" w:sz="0" w:space="0" w:color="auto"/>
      </w:divBdr>
    </w:div>
    <w:div w:id="1690909843">
      <w:bodyDiv w:val="1"/>
      <w:marLeft w:val="0"/>
      <w:marRight w:val="0"/>
      <w:marTop w:val="0"/>
      <w:marBottom w:val="0"/>
      <w:divBdr>
        <w:top w:val="none" w:sz="0" w:space="0" w:color="auto"/>
        <w:left w:val="none" w:sz="0" w:space="0" w:color="auto"/>
        <w:bottom w:val="none" w:sz="0" w:space="0" w:color="auto"/>
        <w:right w:val="none" w:sz="0" w:space="0" w:color="auto"/>
      </w:divBdr>
    </w:div>
    <w:div w:id="1981498699">
      <w:bodyDiv w:val="1"/>
      <w:marLeft w:val="0"/>
      <w:marRight w:val="0"/>
      <w:marTop w:val="0"/>
      <w:marBottom w:val="0"/>
      <w:divBdr>
        <w:top w:val="none" w:sz="0" w:space="0" w:color="auto"/>
        <w:left w:val="none" w:sz="0" w:space="0" w:color="auto"/>
        <w:bottom w:val="none" w:sz="0" w:space="0" w:color="auto"/>
        <w:right w:val="none" w:sz="0" w:space="0" w:color="auto"/>
      </w:divBdr>
    </w:div>
    <w:div w:id="1999994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9CF28-DF3F-440C-A1CC-D04B7424A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25</Pages>
  <Words>1248</Words>
  <Characters>7489</Characters>
  <Application>Microsoft Office Word</Application>
  <DocSecurity>0</DocSecurity>
  <Lines>62</Lines>
  <Paragraphs>17</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8720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Mizera</dc:creator>
  <cp:lastModifiedBy>Krzysztof Mizera</cp:lastModifiedBy>
  <cp:revision>11</cp:revision>
  <dcterms:created xsi:type="dcterms:W3CDTF">2013-10-19T19:06:00Z</dcterms:created>
  <dcterms:modified xsi:type="dcterms:W3CDTF">2013-10-19T23:12:00Z</dcterms:modified>
</cp:coreProperties>
</file>