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986640" w:rsidRP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  <w:r w:rsidRPr="00E87792">
        <w:rPr>
          <w:noProof/>
          <w:sz w:val="36"/>
          <w:szCs w:val="36"/>
          <w:lang w:eastAsia="pl-PL"/>
        </w:rPr>
        <w:t>I</w:t>
      </w:r>
      <w:r w:rsidR="00986640" w:rsidRPr="00E87792">
        <w:rPr>
          <w:noProof/>
          <w:sz w:val="36"/>
          <w:szCs w:val="36"/>
          <w:lang w:eastAsia="pl-PL"/>
        </w:rPr>
        <w:t>nwentaryzacja</w:t>
      </w:r>
    </w:p>
    <w:p w:rsidR="00E87792" w:rsidRP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E87792" w:rsidRPr="00E87792" w:rsidRDefault="00E87792" w:rsidP="00E87792">
      <w:pPr>
        <w:pStyle w:val="Nagwek3"/>
        <w:jc w:val="center"/>
        <w:rPr>
          <w:noProof/>
          <w:sz w:val="36"/>
          <w:szCs w:val="36"/>
          <w:lang w:eastAsia="pl-PL"/>
        </w:rPr>
      </w:pPr>
      <w:r w:rsidRPr="00E87792">
        <w:rPr>
          <w:noProof/>
          <w:sz w:val="36"/>
          <w:szCs w:val="36"/>
          <w:lang w:eastAsia="pl-PL"/>
        </w:rPr>
        <w:t>Materiały szkoleniowe</w:t>
      </w:r>
    </w:p>
    <w:p w:rsidR="00E87792" w:rsidRPr="00E87792" w:rsidRDefault="00E87792" w:rsidP="00E87792">
      <w:pPr>
        <w:ind w:left="357" w:hanging="357"/>
        <w:jc w:val="center"/>
        <w:rPr>
          <w:rFonts w:ascii="Calibri" w:eastAsia="Times New Roman" w:hAnsi="Calibri" w:cs="Times New Roman"/>
          <w:b/>
          <w:bCs/>
          <w:noProof/>
          <w:color w:val="1F497D"/>
          <w:sz w:val="36"/>
          <w:szCs w:val="36"/>
          <w:lang w:eastAsia="pl-PL"/>
        </w:rPr>
      </w:pPr>
      <w:r w:rsidRPr="00E87792">
        <w:rPr>
          <w:noProof/>
          <w:sz w:val="36"/>
          <w:szCs w:val="36"/>
          <w:lang w:eastAsia="pl-PL"/>
        </w:rPr>
        <w:br w:type="page"/>
      </w:r>
    </w:p>
    <w:p w:rsidR="00986640" w:rsidRDefault="00986640" w:rsidP="00986640">
      <w:pPr>
        <w:pStyle w:val="Akapit-tre"/>
      </w:pPr>
      <w:r>
        <w:lastRenderedPageBreak/>
        <w:t>Inwentaryzacja - zawiera możliwość przeprowadzenia spisu z natury w trybie podstawowym i szybkiego spisu z natury, rozliczenia różnic inwentaryzacyjnych oraz wygenerowania dokumentów likwidacji, przyjęcia jak również zmiany miejsca użytkowania.</w:t>
      </w:r>
    </w:p>
    <w:p w:rsidR="00986640" w:rsidRDefault="00986640" w:rsidP="00986640">
      <w:pPr>
        <w:pStyle w:val="Akapit-tre"/>
      </w:pPr>
      <w:r>
        <w:t>Inwentaryzacja jest podzielona na 4 etapy:</w:t>
      </w:r>
    </w:p>
    <w:p w:rsidR="00986640" w:rsidRPr="0098395E" w:rsidRDefault="00986640" w:rsidP="00986640">
      <w:pPr>
        <w:pStyle w:val="Akapit-wyliczanka-o"/>
      </w:pPr>
      <w:r w:rsidRPr="0098395E">
        <w:t>filtrowanie składników majątku, które będą podlegać inwentaryzacji</w:t>
      </w:r>
    </w:p>
    <w:p w:rsidR="00986640" w:rsidRPr="0098395E" w:rsidRDefault="00986640" w:rsidP="00986640">
      <w:pPr>
        <w:pStyle w:val="Akapit-wyliczanka-o"/>
      </w:pPr>
      <w:r w:rsidRPr="0098395E">
        <w:t>wydruk arkuszy spisowych</w:t>
      </w:r>
    </w:p>
    <w:p w:rsidR="00986640" w:rsidRPr="0098395E" w:rsidRDefault="00986640" w:rsidP="00986640">
      <w:pPr>
        <w:pStyle w:val="Akapit-wyliczanka-o"/>
      </w:pPr>
      <w:r w:rsidRPr="0098395E">
        <w:t>wprowadzenie wyników inwentaryzacji</w:t>
      </w:r>
    </w:p>
    <w:p w:rsidR="00986640" w:rsidRDefault="00986640" w:rsidP="00986640">
      <w:pPr>
        <w:pStyle w:val="Akapit-wyliczanka-o"/>
      </w:pPr>
      <w:r w:rsidRPr="0098395E">
        <w:t>rozliczenie</w:t>
      </w:r>
      <w:r>
        <w:t xml:space="preserve"> różnic inwentaryzacyjnych</w:t>
      </w:r>
    </w:p>
    <w:p w:rsidR="00986640" w:rsidRDefault="00986640" w:rsidP="00986640">
      <w:pPr>
        <w:pStyle w:val="Akapit-tre"/>
      </w:pPr>
      <w:r>
        <w:t xml:space="preserve">W pierwszym etapie użytkownik określa, które składniki majątku będzie inwentaryzować. Składniki majątku podlegające inwentaryzacji można filtrować według miejsc używania, osoby odpowiedzialnej, typu  majątku i zakresu  numerów inwentaryzacyjnych. </w:t>
      </w:r>
    </w:p>
    <w:p w:rsidR="00986640" w:rsidRDefault="00986640" w:rsidP="00986640">
      <w:pPr>
        <w:pStyle w:val="Akapit-tre"/>
      </w:pPr>
      <w:r>
        <w:t>W drugim etapie użytkownik drukuje puste arkusze spisowe lub arkusze z listą składników majątku przepisanych z ewidencji i spełniających określone przez użytkownika kryterium. W przypadku korzystania z czytnika kodów arkusze spisowe nie są oczywiście drukowane.</w:t>
      </w:r>
    </w:p>
    <w:p w:rsidR="00986640" w:rsidRDefault="00986640" w:rsidP="00986640">
      <w:pPr>
        <w:pStyle w:val="Akapit-tre"/>
      </w:pPr>
      <w:r>
        <w:t>Po przeprowadzeniu inwentaryzacji użytkownik ma dwie możliwości wprowadzenia do systemu wyników inwentaryzacji. Pierwsza metoda pozwala na automatyczne wygenerowanie listy składników majątku z możliwością zaznaczenia, który składnik został zlokalizowany w trakcie trwania inwentaryzacji. Druga – to wczytanie inwentaryzacji z pliku tekstowego.</w:t>
      </w:r>
    </w:p>
    <w:p w:rsidR="00986640" w:rsidRDefault="00986640" w:rsidP="00986640">
      <w:pPr>
        <w:pStyle w:val="Akapit-tre"/>
      </w:pPr>
      <w:r>
        <w:t>Ostatnim etapem jest wydruk różnic inwentaryzacyjnych. Użytkownik zostaje poinformowany o:</w:t>
      </w:r>
    </w:p>
    <w:p w:rsidR="00986640" w:rsidRDefault="00986640" w:rsidP="00986640">
      <w:pPr>
        <w:pStyle w:val="Akapit-wyliczanka-o"/>
      </w:pPr>
      <w:r w:rsidRPr="0098395E">
        <w:t>niedoborach</w:t>
      </w:r>
      <w:r>
        <w:t xml:space="preserve"> w majątku</w:t>
      </w:r>
    </w:p>
    <w:p w:rsidR="00986640" w:rsidRDefault="00986640" w:rsidP="00986640">
      <w:pPr>
        <w:pStyle w:val="Akapit-wyliczanka-o"/>
      </w:pPr>
      <w:r>
        <w:t xml:space="preserve">nadwyżce w majątku </w:t>
      </w:r>
    </w:p>
    <w:p w:rsidR="00986640" w:rsidRDefault="00986640" w:rsidP="00986640">
      <w:pPr>
        <w:pStyle w:val="Akapit-wyliczanka-o"/>
      </w:pPr>
      <w:r>
        <w:t>różnicy w miejscu przechowywania składników majątku.</w:t>
      </w:r>
    </w:p>
    <w:p w:rsidR="00986640" w:rsidRDefault="00986640" w:rsidP="00986640">
      <w:pPr>
        <w:pStyle w:val="Akapit-tre"/>
      </w:pPr>
      <w:r>
        <w:t xml:space="preserve">W przypadku niedoboru użytkownik ma możliwość wywołania operacji przyjęcia do używania, w przypadku nadwyżki można wywołać operację likwidacji lub likwidacji częściowej, a w przypadku różnic w miejscu przechowywania należy zastosować operację zmiany miejsca używania. </w:t>
      </w:r>
    </w:p>
    <w:p w:rsidR="00986640" w:rsidRPr="0046709E" w:rsidRDefault="00986640" w:rsidP="00986640">
      <w:pPr>
        <w:pStyle w:val="Akapit-tre"/>
      </w:pPr>
      <w:r w:rsidRPr="0046709E">
        <w:br w:type="page"/>
      </w:r>
    </w:p>
    <w:p w:rsidR="00986640" w:rsidRDefault="00986640" w:rsidP="00986640">
      <w:pPr>
        <w:pStyle w:val="RYSUNEK"/>
      </w:pPr>
      <w:r>
        <w:lastRenderedPageBreak/>
        <w:drawing>
          <wp:inline distT="0" distB="0" distL="0" distR="0">
            <wp:extent cx="5287993" cy="3221693"/>
            <wp:effectExtent l="0" t="0" r="8255" b="0"/>
            <wp:docPr id="1278" name="Obraz 1278" descr="MY inw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MY inw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897" cy="322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46709E" w:rsidRDefault="00986640" w:rsidP="00986640">
      <w:pPr>
        <w:pStyle w:val="Legenda"/>
      </w:pPr>
      <w:r w:rsidRPr="0046709E">
        <w:t xml:space="preserve">Rys. </w:t>
      </w:r>
      <w:fldSimple w:instr=" STYLEREF 1 \s ">
        <w:r w:rsidRPr="0046709E">
          <w:t>1</w:t>
        </w:r>
      </w:fldSimple>
      <w:r w:rsidRPr="0046709E">
        <w:t>.</w:t>
      </w:r>
      <w:fldSimple w:instr=" SEQ Rys. \* ARABIC \s 1 ">
        <w:r w:rsidRPr="0046709E">
          <w:t>1</w:t>
        </w:r>
      </w:fldSimple>
      <w:r w:rsidRPr="0046709E">
        <w:t xml:space="preserve">  Inwentaryzacja</w:t>
      </w:r>
    </w:p>
    <w:p w:rsidR="00986640" w:rsidRDefault="00986640" w:rsidP="00986640">
      <w:pPr>
        <w:pStyle w:val="Akapit-tre"/>
      </w:pPr>
      <w:r>
        <w:t xml:space="preserve">W nagłówku znajdują się trzy zakładki: </w:t>
      </w:r>
    </w:p>
    <w:p w:rsidR="00986640" w:rsidRPr="0098395E" w:rsidRDefault="00986640" w:rsidP="00986640">
      <w:pPr>
        <w:pStyle w:val="Akapit-wyliczanka-o"/>
      </w:pPr>
      <w:r w:rsidRPr="0098395E">
        <w:t>Dane podstawowe</w:t>
      </w:r>
    </w:p>
    <w:p w:rsidR="00986640" w:rsidRPr="0098395E" w:rsidRDefault="00986640" w:rsidP="00986640">
      <w:pPr>
        <w:pStyle w:val="Akapit-wyliczanka-o"/>
      </w:pPr>
      <w:r w:rsidRPr="0098395E">
        <w:t>Pozostałe dane</w:t>
      </w:r>
    </w:p>
    <w:p w:rsidR="00986640" w:rsidRDefault="00986640" w:rsidP="00986640">
      <w:pPr>
        <w:pStyle w:val="Akapit-wyliczanka-o"/>
        <w:rPr>
          <w:sz w:val="19"/>
        </w:rPr>
      </w:pPr>
      <w:r w:rsidRPr="0098395E">
        <w:t>Uwagi</w:t>
      </w:r>
    </w:p>
    <w:p w:rsidR="00986640" w:rsidRPr="0098395E" w:rsidRDefault="00986640" w:rsidP="00986640">
      <w:pPr>
        <w:pStyle w:val="Akapit-ustalenie"/>
        <w:rPr>
          <w:noProof/>
        </w:rPr>
      </w:pPr>
      <w:r w:rsidRPr="0098395E">
        <w:rPr>
          <w:noProof/>
        </w:rPr>
        <w:t>Zakładka dane podstawowe i dane pozostałe</w:t>
      </w:r>
    </w:p>
    <w:p w:rsidR="00986640" w:rsidRPr="0098395E" w:rsidRDefault="00986640" w:rsidP="00986640">
      <w:pPr>
        <w:pStyle w:val="Akapit-ustalenie"/>
        <w:rPr>
          <w:noProof/>
        </w:rPr>
      </w:pPr>
      <w:r w:rsidRPr="0098395E">
        <w:rPr>
          <w:noProof/>
        </w:rPr>
        <w:t>Dane podstawowe:</w:t>
      </w:r>
    </w:p>
    <w:p w:rsidR="00986640" w:rsidRPr="0098395E" w:rsidRDefault="00986640" w:rsidP="00986640">
      <w:pPr>
        <w:pStyle w:val="Akapit-wyliczanka-o"/>
      </w:pPr>
      <w:r w:rsidRPr="0098395E">
        <w:t xml:space="preserve">Identyfikator - ciąg znaków  (max 20) określający jednoznacznie identyfikator przeprowadzanej inwentaryzacji, nadawany ręcznie. W praktyce zawiera zwykle identyfikator miejsca </w:t>
      </w:r>
      <w:proofErr w:type="spellStart"/>
      <w:r w:rsidRPr="0098395E">
        <w:t>uzytkowania</w:t>
      </w:r>
      <w:proofErr w:type="spellEnd"/>
      <w:r w:rsidRPr="0098395E">
        <w:t xml:space="preserve"> (lub osoby odpowiedzialnej), rok i numer kolejny. Czasem również skrótowy symbol rodzaju majątku.</w:t>
      </w:r>
    </w:p>
    <w:p w:rsidR="00986640" w:rsidRPr="0098395E" w:rsidRDefault="00986640" w:rsidP="00986640">
      <w:pPr>
        <w:pStyle w:val="Akapit-wyliczanka-o"/>
      </w:pPr>
      <w:r w:rsidRPr="0098395E">
        <w:t>Rodzaj majątku - określa rodzaj majątku inwentaryzowanego</w:t>
      </w:r>
    </w:p>
    <w:p w:rsidR="00986640" w:rsidRPr="0098395E" w:rsidRDefault="00986640" w:rsidP="00986640">
      <w:pPr>
        <w:pStyle w:val="Akapit-wyliczanka-o"/>
      </w:pPr>
      <w:r w:rsidRPr="0098395E">
        <w:t>Data inwentaryzacji - data przeprowadzania spisu</w:t>
      </w:r>
    </w:p>
    <w:p w:rsidR="00986640" w:rsidRPr="0098395E" w:rsidRDefault="00986640" w:rsidP="00986640">
      <w:pPr>
        <w:pStyle w:val="Akapit-wyliczanka-o"/>
      </w:pPr>
      <w:r w:rsidRPr="0098395E">
        <w:t>Operator - osoba wpisująca lub modyfikująca inwentaryzację, pole nieedytowalne</w:t>
      </w:r>
    </w:p>
    <w:p w:rsidR="00986640" w:rsidRPr="0098395E" w:rsidRDefault="00986640" w:rsidP="00986640">
      <w:pPr>
        <w:pStyle w:val="Akapit-wyliczanka-o"/>
      </w:pPr>
      <w:r w:rsidRPr="0098395E">
        <w:t>Status - określa status (roboczy, zatwierdzony)</w:t>
      </w:r>
    </w:p>
    <w:p w:rsidR="00986640" w:rsidRPr="0098395E" w:rsidRDefault="00986640" w:rsidP="00986640">
      <w:pPr>
        <w:pStyle w:val="Akapit-wyliczanka-o"/>
      </w:pPr>
      <w:r w:rsidRPr="0098395E">
        <w:t>Miejsce użytkowania - określa miejsce gdzie na dzień  inwentaryzacji użytkowany jest majątek</w:t>
      </w:r>
    </w:p>
    <w:p w:rsidR="00986640" w:rsidRPr="0098395E" w:rsidRDefault="00986640" w:rsidP="00986640">
      <w:pPr>
        <w:pStyle w:val="Akapit-wyliczanka-o"/>
      </w:pPr>
      <w:r w:rsidRPr="0098395E">
        <w:t>Osoba odpowiedzialna – określa osobę odpowiedzialną za dany majątek</w:t>
      </w:r>
    </w:p>
    <w:p w:rsidR="00986640" w:rsidRPr="00BA3F78" w:rsidRDefault="00986640" w:rsidP="00986640">
      <w:pPr>
        <w:pStyle w:val="Akapit-ustalenie"/>
        <w:rPr>
          <w:noProof/>
        </w:rPr>
      </w:pPr>
      <w:r w:rsidRPr="00BA3F78">
        <w:rPr>
          <w:noProof/>
        </w:rPr>
        <w:t>Dane pozostałe:</w:t>
      </w:r>
    </w:p>
    <w:p w:rsidR="00986640" w:rsidRPr="0098395E" w:rsidRDefault="00986640" w:rsidP="00986640">
      <w:pPr>
        <w:pStyle w:val="Akapit-wyliczanka-o"/>
      </w:pPr>
      <w:r w:rsidRPr="0098395E">
        <w:t>Zgłosił - wybór z listy pracowników osoby zgłaszającej przeprowadzenie spisu z natury</w:t>
      </w:r>
    </w:p>
    <w:p w:rsidR="00986640" w:rsidRPr="0098395E" w:rsidRDefault="00986640" w:rsidP="00986640">
      <w:pPr>
        <w:pStyle w:val="Akapit-wyliczanka-o"/>
      </w:pPr>
      <w:r w:rsidRPr="0098395E">
        <w:t>Przeprowadził - wybór z listy pracowników osoby przeprowadzającej spis</w:t>
      </w:r>
    </w:p>
    <w:p w:rsidR="00986640" w:rsidRPr="0098395E" w:rsidRDefault="00986640" w:rsidP="00986640">
      <w:pPr>
        <w:pStyle w:val="Akapit-wyliczanka-o"/>
      </w:pPr>
      <w:r w:rsidRPr="0098395E">
        <w:t>Rozliczył - wybór z listy pracownika rozliczającego inwentaryzację</w:t>
      </w:r>
    </w:p>
    <w:p w:rsidR="00986640" w:rsidRPr="0098395E" w:rsidRDefault="00986640" w:rsidP="00986640">
      <w:pPr>
        <w:pStyle w:val="Akapit-wyliczanka-o"/>
      </w:pPr>
      <w:r w:rsidRPr="0098395E">
        <w:t xml:space="preserve">Rodzaj przyj. </w:t>
      </w:r>
      <w:proofErr w:type="spellStart"/>
      <w:r w:rsidRPr="0098395E">
        <w:t>śr</w:t>
      </w:r>
      <w:proofErr w:type="spellEnd"/>
      <w:r w:rsidRPr="0098395E">
        <w:t>. licz. – Rodzaj dokumentu przychodowego dla nadwyżek ilościowych. Możliwy wybór to Przyjęcie lub przyjęcie częściowe. Przyjęcie – oznacza przyjęcie na nowy numer inwentarzowy. Przyjęcie częściowe – automatyczny dokument nadwyżki utworzy się na istniejącym numerze inwentarzowym.</w:t>
      </w:r>
    </w:p>
    <w:p w:rsidR="00986640" w:rsidRPr="0098395E" w:rsidRDefault="00986640" w:rsidP="00986640">
      <w:pPr>
        <w:pStyle w:val="Akapit-wyliczanka-o"/>
      </w:pPr>
      <w:r w:rsidRPr="0098395E">
        <w:t>Typ operacji rozchodowej – wybór typu operacji rozchodowej np.: likwidacja</w:t>
      </w:r>
    </w:p>
    <w:p w:rsidR="00986640" w:rsidRPr="0098395E" w:rsidRDefault="00986640" w:rsidP="00986640">
      <w:pPr>
        <w:pStyle w:val="Akapit-wyliczanka-o"/>
      </w:pPr>
      <w:r w:rsidRPr="0098395E">
        <w:t xml:space="preserve">Typ operacji przychodowej – wybór typu operacji przychodowej np.: OT, BO </w:t>
      </w:r>
    </w:p>
    <w:p w:rsidR="00986640" w:rsidRPr="0098395E" w:rsidRDefault="00986640" w:rsidP="00986640">
      <w:pPr>
        <w:pStyle w:val="Akapit-wyliczanka-o"/>
      </w:pPr>
      <w:r w:rsidRPr="0098395E">
        <w:lastRenderedPageBreak/>
        <w:t xml:space="preserve">Flagi </w:t>
      </w:r>
      <w:r w:rsidRPr="0098395E">
        <w:rPr>
          <w:noProof/>
        </w:rPr>
        <w:drawing>
          <wp:inline distT="0" distB="0" distL="0" distR="0">
            <wp:extent cx="396875" cy="250190"/>
            <wp:effectExtent l="0" t="0" r="3175" b="0"/>
            <wp:docPr id="1279" name="Obraz 1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95E">
        <w:t xml:space="preserve">  - oznaczają operacje wielopozycyjne (</w:t>
      </w:r>
      <w:proofErr w:type="spellStart"/>
      <w:r w:rsidRPr="0098395E">
        <w:t>tzn</w:t>
      </w:r>
      <w:proofErr w:type="spellEnd"/>
      <w:r w:rsidRPr="0098395E">
        <w:t xml:space="preserve"> zamiast wielu dokumentów </w:t>
      </w:r>
      <w:proofErr w:type="spellStart"/>
      <w:r w:rsidRPr="0098395E">
        <w:t>np</w:t>
      </w:r>
      <w:proofErr w:type="spellEnd"/>
      <w:r w:rsidRPr="0098395E">
        <w:t xml:space="preserve"> likwidacji utworzy się jeden, wielopozycyjny)</w:t>
      </w:r>
    </w:p>
    <w:p w:rsidR="00986640" w:rsidRPr="0098395E" w:rsidRDefault="00986640" w:rsidP="00986640">
      <w:pPr>
        <w:pStyle w:val="Akapit-wyliczanka-o"/>
      </w:pPr>
      <w:r w:rsidRPr="0098395E">
        <w:t>Typ operacji rozchodowej częściowej - wybór z listy typu operacji likwidacji częściowej</w:t>
      </w:r>
    </w:p>
    <w:p w:rsidR="00986640" w:rsidRPr="0098395E" w:rsidRDefault="00986640" w:rsidP="00986640">
      <w:pPr>
        <w:pStyle w:val="Akapit-wyliczanka-o"/>
      </w:pPr>
      <w:r w:rsidRPr="0098395E">
        <w:t xml:space="preserve">Typ operacji </w:t>
      </w:r>
      <w:proofErr w:type="spellStart"/>
      <w:r w:rsidRPr="0098395E">
        <w:t>przych</w:t>
      </w:r>
      <w:proofErr w:type="spellEnd"/>
      <w:r w:rsidRPr="0098395E">
        <w:t>. częściowej - wybór z listy typu operacji przyjęcia częściowego</w:t>
      </w:r>
    </w:p>
    <w:p w:rsidR="00986640" w:rsidRPr="0098395E" w:rsidRDefault="00986640" w:rsidP="00986640">
      <w:pPr>
        <w:pStyle w:val="Akapit-wyliczanka-o"/>
      </w:pPr>
      <w:r w:rsidRPr="0098395E">
        <w:t>Rodzaj likwidacji</w:t>
      </w:r>
      <w:r w:rsidRPr="0098395E">
        <w:softHyphen/>
        <w:t xml:space="preserve"> – wskazanie przyczyny likwidacji ze słownika</w:t>
      </w:r>
    </w:p>
    <w:p w:rsidR="00986640" w:rsidRPr="0098395E" w:rsidRDefault="00986640" w:rsidP="00986640">
      <w:pPr>
        <w:pStyle w:val="Akapit-wyliczanka-o"/>
      </w:pPr>
      <w:r w:rsidRPr="0098395E">
        <w:t>Typ operacji zmiany miejsca użytkowania - wybór z listy typu operacji zmiany miejsca użytkowania</w:t>
      </w:r>
    </w:p>
    <w:p w:rsidR="00986640" w:rsidRPr="0098395E" w:rsidRDefault="00986640" w:rsidP="00986640">
      <w:pPr>
        <w:pStyle w:val="Akapit-wyliczanka-o"/>
      </w:pPr>
      <w:r w:rsidRPr="0098395E">
        <w:t xml:space="preserve">Nr inwentarzowy od do – wybór z listy majątku od numeru ... do numeru inwentarzowego wybór taki daje możliwość wybrania tylko części majątku do inwentaryzacji np.: wybranie numeru od OT2001 do OT 20023 i </w:t>
      </w:r>
      <w:r w:rsidRPr="0098395E">
        <w:rPr>
          <w:noProof/>
        </w:rPr>
        <w:drawing>
          <wp:inline distT="0" distB="0" distL="0" distR="0">
            <wp:extent cx="241300" cy="172720"/>
            <wp:effectExtent l="0" t="0" r="6350" b="0"/>
            <wp:docPr id="1280" name="Obraz 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95E">
        <w:t xml:space="preserve"> załadowanie danych do inwentaryzacji. Do inwentaryzacji zostaną wybrane tylko te, które zostały uprzednio wybrane.</w:t>
      </w:r>
    </w:p>
    <w:p w:rsidR="00986640" w:rsidRPr="00BA3F78" w:rsidRDefault="00986640" w:rsidP="00986640">
      <w:pPr>
        <w:pStyle w:val="Akapit-ustalenie"/>
        <w:rPr>
          <w:noProof/>
        </w:rPr>
      </w:pPr>
      <w:r w:rsidRPr="00BA3F78">
        <w:rPr>
          <w:noProof/>
        </w:rPr>
        <w:t>Obsługa inwentaryzacji</w:t>
      </w:r>
      <w:r>
        <w:rPr>
          <w:noProof/>
        </w:rPr>
        <w:t xml:space="preserve"> – funkcjonalność</w:t>
      </w:r>
      <w:r w:rsidRPr="00BA3F78">
        <w:rPr>
          <w:noProof/>
        </w:rPr>
        <w:t xml:space="preserve"> standardowa</w:t>
      </w:r>
    </w:p>
    <w:p w:rsidR="00986640" w:rsidRPr="00BA3F78" w:rsidRDefault="00986640" w:rsidP="00986640">
      <w:pPr>
        <w:pStyle w:val="Akapit-tre"/>
      </w:pPr>
      <w:r w:rsidRPr="00BA3F78">
        <w:t xml:space="preserve">Zakładamy inwentaryzację na liście inwentaryzacji. W nagłówku wskazujemy miejsce użytkowania, które inwentaryzujemy, ewentualnie inne warunki filtrujące </w:t>
      </w:r>
    </w:p>
    <w:p w:rsidR="00986640" w:rsidRPr="008123C7" w:rsidRDefault="00986640" w:rsidP="00986640">
      <w:pPr>
        <w:pStyle w:val="RYSUNEK"/>
      </w:pPr>
      <w:r>
        <w:drawing>
          <wp:inline distT="0" distB="0" distL="0" distR="0">
            <wp:extent cx="5063706" cy="4070494"/>
            <wp:effectExtent l="0" t="0" r="3810" b="6350"/>
            <wp:docPr id="1281" name="Obraz 1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240" cy="407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BA3F78" w:rsidRDefault="00986640" w:rsidP="00986640">
      <w:pPr>
        <w:pStyle w:val="Akapit-tre"/>
      </w:pPr>
      <w:r w:rsidRPr="00BA3F78">
        <w:t xml:space="preserve">W zakładce ‘Pozostałe dane’ podajemy typy operacji, wg których mogą (na nasze potwierdzenie w trakcie zatwierdzania inwentaryzacji) utworzyć się automatyczne dokumenty przychodu, likwidacji i zmiany miejsca. Flagi </w:t>
      </w:r>
      <w:r w:rsidRPr="00BA3F78">
        <w:rPr>
          <w:noProof/>
          <w:lang w:eastAsia="pl-PL"/>
        </w:rPr>
        <w:drawing>
          <wp:inline distT="0" distB="0" distL="0" distR="0">
            <wp:extent cx="396875" cy="250190"/>
            <wp:effectExtent l="0" t="0" r="3175" b="0"/>
            <wp:docPr id="1282" name="Obraz 1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3F78">
        <w:t xml:space="preserve"> oznaczają operacje wielopozycyjne (</w:t>
      </w:r>
      <w:proofErr w:type="spellStart"/>
      <w:r w:rsidRPr="00BA3F78">
        <w:t>tzn</w:t>
      </w:r>
      <w:proofErr w:type="spellEnd"/>
      <w:r w:rsidRPr="00BA3F78">
        <w:t xml:space="preserve"> zamiast wielu dokumentów likwidacji utworzy się jeden, wielopozycyjny). Pola nr inwentarzowy od.. do służą do dodatkowego ograniczenia inwentaryzowanych środków.</w:t>
      </w:r>
    </w:p>
    <w:p w:rsidR="00986640" w:rsidRPr="008123C7" w:rsidRDefault="00986640" w:rsidP="00986640">
      <w:pPr>
        <w:pStyle w:val="RYSUNEK"/>
      </w:pPr>
      <w:r>
        <w:lastRenderedPageBreak/>
        <w:drawing>
          <wp:inline distT="0" distB="0" distL="0" distR="0">
            <wp:extent cx="5020574" cy="729158"/>
            <wp:effectExtent l="0" t="0" r="0" b="0"/>
            <wp:docPr id="1283" name="Obraz 1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2" cy="72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99256A" w:rsidRDefault="00986640" w:rsidP="00986640">
      <w:pPr>
        <w:pStyle w:val="Akapit-tre"/>
      </w:pPr>
      <w:r w:rsidRPr="0099256A">
        <w:t xml:space="preserve">Klikamy ikonę </w:t>
      </w:r>
      <w:r w:rsidRPr="0099256A">
        <w:rPr>
          <w:noProof/>
          <w:lang w:eastAsia="pl-PL"/>
        </w:rPr>
        <w:drawing>
          <wp:inline distT="0" distB="0" distL="0" distR="0">
            <wp:extent cx="241300" cy="172720"/>
            <wp:effectExtent l="0" t="0" r="6350" b="0"/>
            <wp:docPr id="1284" name="Obraz 1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t xml:space="preserve"> ‘Załaduj bieżące dane’ . Powoduje to naczytanie do arkusza środków z ewidencji wg wybranych w nagłówku filtrów.  Możemy teraz wydrukować ‘Arkusz spisu z natury’, przeprowadzić fizyczną inwentaryzację i wprowadzić jej wyniki do programu.</w:t>
      </w:r>
    </w:p>
    <w:p w:rsidR="00986640" w:rsidRPr="008123C7" w:rsidRDefault="00986640" w:rsidP="00986640">
      <w:pPr>
        <w:pStyle w:val="Akapit-tre"/>
        <w:rPr>
          <w:rFonts w:ascii="Times New Roman" w:hAnsi="Times New Roman"/>
          <w:sz w:val="20"/>
          <w:szCs w:val="20"/>
        </w:rPr>
      </w:pPr>
      <w:r w:rsidRPr="0099256A">
        <w:t xml:space="preserve"> Środki nie są jeszcze widoczne na arkuszu. Aby tak się stało – należy uruchomić ‘Szybkie wprowadzanie spisu z natury’ </w:t>
      </w:r>
      <w:r w:rsidRPr="0099256A">
        <w:rPr>
          <w:noProof/>
          <w:lang w:eastAsia="pl-PL"/>
        </w:rPr>
        <w:drawing>
          <wp:inline distT="0" distB="0" distL="0" distR="0">
            <wp:extent cx="241300" cy="207010"/>
            <wp:effectExtent l="0" t="0" r="6350" b="2540"/>
            <wp:docPr id="1285" name="Obraz 1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t xml:space="preserve"> Pod nagłówkiem inwentaryzacji pojawi się wówczas lista pozycji, które możemy zaznaczać/odznaczać pojedynczo lub zbiorczo, przyciskiem + </w:t>
      </w:r>
      <w:r w:rsidRPr="0099256A">
        <w:rPr>
          <w:noProof/>
          <w:lang w:eastAsia="pl-PL"/>
        </w:rPr>
        <w:drawing>
          <wp:inline distT="0" distB="0" distL="0" distR="0">
            <wp:extent cx="1069975" cy="155575"/>
            <wp:effectExtent l="0" t="0" r="0" b="0"/>
            <wp:docPr id="1286" name="Obraz 1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t>. Zaznaczenie oznacza, że środek został spisany. Wartości środków są ustalone wg stanu  na dzień inwentaryzacji dla systemu amortyzacji oznaczonego w słowniku jako ‘Podstawowy’. Jeżeli środek nie ma wartości w podstawowym  systemie amortyzacji, to wartość jest pobierana z pierwszego kolejnością systemu. Ilości można edytować tylko dla środków, które zostały przyjęte jako liczne.  Nadwyżki wprowadzamy dod</w:t>
      </w:r>
      <w:r>
        <w:t>ając pozycję prawym przyciskiem</w:t>
      </w:r>
      <w:r w:rsidRPr="0099256A">
        <w:t xml:space="preserve"> myszy.</w:t>
      </w:r>
    </w:p>
    <w:p w:rsidR="00986640" w:rsidRDefault="00986640" w:rsidP="00986640">
      <w:pPr>
        <w:pStyle w:val="RYSUNEK"/>
      </w:pPr>
      <w:r>
        <w:drawing>
          <wp:inline distT="0" distB="0" distL="0" distR="0">
            <wp:extent cx="4848046" cy="2376671"/>
            <wp:effectExtent l="0" t="0" r="0" b="5080"/>
            <wp:docPr id="1287" name="Obraz 1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624" cy="237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99256A" w:rsidRDefault="00986640" w:rsidP="00986640">
      <w:pPr>
        <w:pStyle w:val="Akapit-tre"/>
      </w:pPr>
      <w:r w:rsidRPr="0099256A">
        <w:t>Szybkie wprowadzanie spisu z natury’ można zastąpić</w:t>
      </w:r>
      <w:r w:rsidRPr="0099256A">
        <w:rPr>
          <w:u w:val="single"/>
        </w:rPr>
        <w:t xml:space="preserve"> </w:t>
      </w:r>
      <w:r w:rsidRPr="0099256A">
        <w:t xml:space="preserve">opcją </w:t>
      </w:r>
      <w:r w:rsidRPr="0099256A">
        <w:rPr>
          <w:b/>
          <w:u w:val="single"/>
        </w:rPr>
        <w:t>Import danych</w:t>
      </w:r>
      <w:r w:rsidRPr="0099256A">
        <w:rPr>
          <w:u w:val="single"/>
        </w:rPr>
        <w:t xml:space="preserve"> </w:t>
      </w:r>
      <w:r w:rsidRPr="0099256A">
        <w:t xml:space="preserve">  </w:t>
      </w:r>
      <w:r w:rsidRPr="0099256A">
        <w:rPr>
          <w:noProof/>
          <w:lang w:eastAsia="pl-PL"/>
        </w:rPr>
        <w:drawing>
          <wp:inline distT="0" distB="0" distL="0" distR="0">
            <wp:extent cx="250190" cy="215900"/>
            <wp:effectExtent l="0" t="0" r="0" b="0"/>
            <wp:docPr id="1288" name="Obraz 1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rPr>
          <w:noProof/>
          <w:lang w:eastAsia="pl-PL"/>
        </w:rPr>
        <w:t xml:space="preserve"> - </w:t>
      </w:r>
      <w:r w:rsidRPr="0099256A">
        <w:t xml:space="preserve">służy ona do importu pliku utworzonego poprzez kolektor danych z czytnika kodów kreskowych lub pliku utworzonego poprzez czytnik kodów wyposażony w pamięć. Należy wybrać plik wcześniej utworzony i zaimportować go do listy inwentaryzacji. Po kliknięciu ikony importu </w:t>
      </w:r>
      <w:r w:rsidRPr="0099256A">
        <w:rPr>
          <w:noProof/>
          <w:lang w:eastAsia="pl-PL"/>
        </w:rPr>
        <w:drawing>
          <wp:inline distT="0" distB="0" distL="0" distR="0">
            <wp:extent cx="250190" cy="215900"/>
            <wp:effectExtent l="0" t="0" r="0" b="0"/>
            <wp:docPr id="1289" name="Obraz 1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rPr>
          <w:noProof/>
          <w:lang w:eastAsia="pl-PL"/>
        </w:rPr>
        <w:t xml:space="preserve"> </w:t>
      </w:r>
      <w:r w:rsidRPr="0099256A">
        <w:t xml:space="preserve">pojawia się poniższe okienko, w którym po kliknięciu przycisku </w:t>
      </w:r>
      <w:r w:rsidRPr="0099256A">
        <w:rPr>
          <w:noProof/>
          <w:lang w:eastAsia="pl-PL"/>
        </w:rPr>
        <w:drawing>
          <wp:inline distT="0" distB="0" distL="0" distR="0">
            <wp:extent cx="310515" cy="189865"/>
            <wp:effectExtent l="0" t="0" r="0" b="635"/>
            <wp:docPr id="1290" name="Obraz 1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t>:</w:t>
      </w:r>
    </w:p>
    <w:p w:rsidR="00986640" w:rsidRDefault="00986640" w:rsidP="00986640">
      <w:pPr>
        <w:pStyle w:val="RYSUNEK"/>
      </w:pPr>
      <w:r>
        <w:lastRenderedPageBreak/>
        <w:drawing>
          <wp:inline distT="0" distB="0" distL="0" distR="0">
            <wp:extent cx="4459605" cy="1880870"/>
            <wp:effectExtent l="0" t="0" r="0" b="5080"/>
            <wp:docPr id="1291" name="Obraz 1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605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Default="00986640" w:rsidP="00986640">
      <w:pPr>
        <w:pStyle w:val="Akapit-tre"/>
        <w:rPr>
          <w:rFonts w:ascii="Times New Roman" w:hAnsi="Times New Roman"/>
        </w:rPr>
      </w:pPr>
      <w:r w:rsidRPr="0099256A">
        <w:t>Pojawia się okno wyboru pliku</w:t>
      </w:r>
      <w:r>
        <w:rPr>
          <w:rFonts w:ascii="Times New Roman" w:hAnsi="Times New Roman"/>
        </w:rPr>
        <w:t>:</w:t>
      </w:r>
    </w:p>
    <w:p w:rsidR="00986640" w:rsidRDefault="00986640" w:rsidP="00986640">
      <w:pPr>
        <w:pStyle w:val="RYSUNEK"/>
      </w:pPr>
      <w:r>
        <w:drawing>
          <wp:inline distT="0" distB="0" distL="0" distR="0">
            <wp:extent cx="2907030" cy="1863090"/>
            <wp:effectExtent l="0" t="0" r="7620" b="3810"/>
            <wp:docPr id="1292" name="Obraz 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99256A" w:rsidRDefault="00986640" w:rsidP="00986640">
      <w:pPr>
        <w:pStyle w:val="Akapit-tre"/>
        <w:rPr>
          <w:noProof/>
          <w:lang w:eastAsia="pl-PL"/>
        </w:rPr>
      </w:pPr>
      <w:r w:rsidRPr="0099256A">
        <w:t xml:space="preserve">Po wybraniu pliku i kliknięciu przycisku </w:t>
      </w:r>
      <w:r w:rsidRPr="0099256A">
        <w:rPr>
          <w:noProof/>
          <w:lang w:eastAsia="pl-PL"/>
        </w:rPr>
        <w:drawing>
          <wp:inline distT="0" distB="0" distL="0" distR="0">
            <wp:extent cx="724535" cy="215900"/>
            <wp:effectExtent l="0" t="0" r="0" b="0"/>
            <wp:docPr id="1293" name="Obraz 1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rPr>
          <w:noProof/>
          <w:lang w:eastAsia="pl-PL"/>
        </w:rPr>
        <w:t xml:space="preserve"> dane są ładowane wg poniższych zasad:</w:t>
      </w:r>
    </w:p>
    <w:p w:rsidR="00986640" w:rsidRPr="0099256A" w:rsidRDefault="00986640" w:rsidP="00986640">
      <w:pPr>
        <w:pStyle w:val="Akapit-wyliczanka-o"/>
      </w:pPr>
      <w:r w:rsidRPr="0099256A">
        <w:t>Jeśli nagłówek dokumentu  inwentaryzacji zawiera identyfikator miejsca użytkowania to ta informacja jest kopiowana do pozycji</w:t>
      </w:r>
    </w:p>
    <w:p w:rsidR="00986640" w:rsidRPr="0099256A" w:rsidRDefault="00986640" w:rsidP="00986640">
      <w:pPr>
        <w:pStyle w:val="Akapit-wyliczanka-o"/>
      </w:pPr>
      <w:r w:rsidRPr="0099256A">
        <w:t>Jeśli środek istnieje w bazie to pobierana jest jego nazwa</w:t>
      </w:r>
    </w:p>
    <w:p w:rsidR="00986640" w:rsidRPr="0099256A" w:rsidRDefault="00986640" w:rsidP="00986640">
      <w:pPr>
        <w:pStyle w:val="Akapit-wyliczanka-o"/>
      </w:pPr>
      <w:r w:rsidRPr="0099256A">
        <w:t>Jeśli w pliku nie ma ilości to wpisywana jest ilość 1</w:t>
      </w:r>
    </w:p>
    <w:p w:rsidR="00986640" w:rsidRPr="0099256A" w:rsidRDefault="00986640" w:rsidP="00986640">
      <w:pPr>
        <w:pStyle w:val="Akapit-wyliczanka-o"/>
      </w:pPr>
      <w:r w:rsidRPr="0099256A">
        <w:t>Jeśli środków nie ma w bazie i w nagłówku dokumentu nie ma miejsca użytkowania to pobierane jest pierwsze domyślne miejsce</w:t>
      </w:r>
    </w:p>
    <w:p w:rsidR="00986640" w:rsidRPr="0099256A" w:rsidRDefault="00986640" w:rsidP="00986640">
      <w:pPr>
        <w:pStyle w:val="Akapit-wyliczanka-o"/>
      </w:pPr>
      <w:r w:rsidRPr="0099256A">
        <w:t>Jeśli środek istnieje w bazie a nagłówek dokumentu  zawiera miejsce użytkowania to miejsce z nagłówka jest kopiowane do pozycji</w:t>
      </w:r>
    </w:p>
    <w:p w:rsidR="00986640" w:rsidRPr="0099256A" w:rsidRDefault="00986640" w:rsidP="00986640">
      <w:pPr>
        <w:pStyle w:val="Akapit-wyliczanka-o"/>
      </w:pPr>
      <w:r w:rsidRPr="0099256A">
        <w:t>Jeśli środek istnieje w bazie a w nagłówku dokumentu  nie ma miejsca użytkowania to miejsce dla tego środka jest pobierane z ewidencji</w:t>
      </w:r>
    </w:p>
    <w:p w:rsidR="00986640" w:rsidRPr="0099256A" w:rsidRDefault="00986640" w:rsidP="00986640">
      <w:pPr>
        <w:pStyle w:val="Akapit-tre"/>
      </w:pPr>
      <w:r w:rsidRPr="0099256A">
        <w:t xml:space="preserve">Przykładowy format pliku  to plik </w:t>
      </w:r>
      <w:proofErr w:type="spellStart"/>
      <w:r w:rsidRPr="0099256A">
        <w:t>txt</w:t>
      </w:r>
      <w:proofErr w:type="spellEnd"/>
      <w:r w:rsidRPr="0099256A">
        <w:t xml:space="preserve"> zawierający kolejne wiersze z numerami  inwentarzowymi, </w:t>
      </w:r>
      <w:proofErr w:type="spellStart"/>
      <w:r w:rsidRPr="0099256A">
        <w:t>np</w:t>
      </w:r>
      <w:proofErr w:type="spellEnd"/>
      <w:r w:rsidRPr="0099256A">
        <w:t>:</w:t>
      </w:r>
    </w:p>
    <w:p w:rsidR="00986640" w:rsidRPr="0099256A" w:rsidRDefault="00986640" w:rsidP="00986640">
      <w:pPr>
        <w:pStyle w:val="Akapit-tre"/>
      </w:pPr>
      <w:r w:rsidRPr="0099256A">
        <w:t>630-1111</w:t>
      </w:r>
    </w:p>
    <w:p w:rsidR="00986640" w:rsidRPr="0099256A" w:rsidRDefault="00986640" w:rsidP="00986640">
      <w:pPr>
        <w:pStyle w:val="Akapit-tre"/>
      </w:pPr>
      <w:r w:rsidRPr="0099256A">
        <w:t>631-1111</w:t>
      </w:r>
    </w:p>
    <w:p w:rsidR="00986640" w:rsidRPr="0099256A" w:rsidRDefault="00986640" w:rsidP="00986640">
      <w:pPr>
        <w:pStyle w:val="Akapit-tre"/>
      </w:pPr>
      <w:r w:rsidRPr="0099256A">
        <w:t>101-0001</w:t>
      </w:r>
    </w:p>
    <w:p w:rsidR="00986640" w:rsidRPr="0099256A" w:rsidRDefault="00986640" w:rsidP="00986640">
      <w:pPr>
        <w:pStyle w:val="Akapit-tre"/>
      </w:pPr>
      <w:r w:rsidRPr="0099256A">
        <w:t xml:space="preserve">Po zapisaniu dyskietką zmian (lub imporcie z pliku) pozycje, których nie zaznaczyliśmy (lub nie zostały wczytane z pliku) przestają być widoczne w normalnym trybie przeglądania. Ikony  </w:t>
      </w:r>
      <w:r w:rsidRPr="0099256A">
        <w:rPr>
          <w:noProof/>
          <w:lang w:eastAsia="pl-PL"/>
        </w:rPr>
        <w:drawing>
          <wp:inline distT="0" distB="0" distL="0" distR="0">
            <wp:extent cx="483235" cy="233045"/>
            <wp:effectExtent l="0" t="0" r="0" b="0"/>
            <wp:docPr id="1294" name="Obraz 1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t xml:space="preserve">  ‘Pokaż nadwyżkę’, ‘Pokaż niedobór’ umożliwiają przeglądanie różnic inwentaryzacyjnych a powtórne kliknięcie </w:t>
      </w:r>
      <w:r w:rsidRPr="0099256A">
        <w:rPr>
          <w:noProof/>
          <w:lang w:eastAsia="pl-PL"/>
        </w:rPr>
        <w:drawing>
          <wp:inline distT="0" distB="0" distL="0" distR="0">
            <wp:extent cx="241300" cy="207010"/>
            <wp:effectExtent l="0" t="0" r="6350" b="2540"/>
            <wp:docPr id="1295" name="Obraz 1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6A">
        <w:rPr>
          <w:noProof/>
          <w:lang w:eastAsia="pl-PL"/>
        </w:rPr>
        <w:t xml:space="preserve"> umożliwia w niedoborach wskazanie, że jednak ten środek został spisany.  Błędnie </w:t>
      </w:r>
      <w:r w:rsidRPr="0099256A">
        <w:rPr>
          <w:noProof/>
          <w:lang w:eastAsia="pl-PL"/>
        </w:rPr>
        <w:lastRenderedPageBreak/>
        <w:t>zaznaczoną pozycję można skasować w trybie przeglądania spisu, będzie wtedy przeniesiona do niedoborów.</w:t>
      </w:r>
    </w:p>
    <w:p w:rsidR="00986640" w:rsidRPr="0099256A" w:rsidRDefault="00986640" w:rsidP="00986640">
      <w:pPr>
        <w:pStyle w:val="Akapit-tre"/>
      </w:pPr>
      <w:r w:rsidRPr="0099256A">
        <w:t>Środki zaznaczone uzyskują status ‘Istnieje w spisie’</w:t>
      </w:r>
    </w:p>
    <w:p w:rsidR="00986640" w:rsidRPr="008123C7" w:rsidRDefault="00986640" w:rsidP="00986640">
      <w:pPr>
        <w:pStyle w:val="RYSUNEK"/>
      </w:pPr>
      <w:r>
        <w:drawing>
          <wp:inline distT="0" distB="0" distL="0" distR="0">
            <wp:extent cx="4925683" cy="2381696"/>
            <wp:effectExtent l="0" t="0" r="8890" b="0"/>
            <wp:docPr id="1296" name="Obraz 1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836" cy="238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BA3F78" w:rsidRDefault="00986640" w:rsidP="00986640">
      <w:pPr>
        <w:pStyle w:val="Akapit-tre"/>
      </w:pPr>
      <w:r w:rsidRPr="00BA3F78">
        <w:t>Środki dopisane mogą mieć status ‘W złym  miejscu  użytkowania’ lub ‘Nadwyżka’. Jeśli wprowadzimy środek, który istnieje w ewidencji SIMPLE, ale w innym miejscu użytkowania, to uzyskuje status ‘W złym miejscu użytkowania’ . Środek, którego numer inwentarzowy nie istnieje w ewidencji SIMPLE uzyskuje status ‘Nadwyżka’. Możemy edytować jego nazwę (domyślnie dodaje się jako ‘NIEZDEFINIOWANY ŚRODEK’) oraz ilość</w:t>
      </w:r>
    </w:p>
    <w:p w:rsidR="00986640" w:rsidRPr="008123C7" w:rsidRDefault="00986640" w:rsidP="00986640">
      <w:pPr>
        <w:pStyle w:val="RYSUNEK"/>
      </w:pPr>
      <w:r>
        <w:drawing>
          <wp:inline distT="0" distB="0" distL="0" distR="0">
            <wp:extent cx="5158597" cy="422694"/>
            <wp:effectExtent l="0" t="0" r="4445" b="0"/>
            <wp:docPr id="1297" name="Obraz 1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57" cy="42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8123C7" w:rsidRDefault="00986640" w:rsidP="00986640">
      <w:pPr>
        <w:pStyle w:val="Akapit-tre"/>
      </w:pPr>
      <w:r w:rsidRPr="008123C7">
        <w:t>Po wprowadzeniu spisu można wydrukować raporty:</w:t>
      </w:r>
    </w:p>
    <w:p w:rsidR="00986640" w:rsidRDefault="00986640" w:rsidP="00986640">
      <w:pPr>
        <w:pStyle w:val="RYSUNEK"/>
      </w:pPr>
      <w:r>
        <w:drawing>
          <wp:inline distT="0" distB="0" distL="0" distR="0">
            <wp:extent cx="5374005" cy="1155700"/>
            <wp:effectExtent l="0" t="0" r="0" b="6350"/>
            <wp:docPr id="1298" name="Obraz 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00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23C7">
        <w:t xml:space="preserve"> </w:t>
      </w:r>
    </w:p>
    <w:p w:rsidR="00986640" w:rsidRPr="00BA3F78" w:rsidRDefault="00986640" w:rsidP="00986640">
      <w:pPr>
        <w:pStyle w:val="Akapit-ustalenie"/>
        <w:rPr>
          <w:noProof/>
        </w:rPr>
      </w:pPr>
      <w:r w:rsidRPr="00BA3F78">
        <w:rPr>
          <w:noProof/>
        </w:rPr>
        <w:t>Wydruk stanu inwentaryzacji</w:t>
      </w:r>
    </w:p>
    <w:p w:rsidR="00986640" w:rsidRPr="008123C7" w:rsidRDefault="00986640" w:rsidP="00986640">
      <w:pPr>
        <w:pStyle w:val="Akapit-tre"/>
      </w:pPr>
      <w:r w:rsidRPr="008123C7">
        <w:t xml:space="preserve"> - wykazuje wartości środków zgodne z kartoteką z pominięciem całkowitych niedoborów (tych środków w ogóle nie ma na raporcie). Dla różnic ilościowych i zmian</w:t>
      </w:r>
      <w:r>
        <w:t xml:space="preserve"> </w:t>
      </w:r>
      <w:r w:rsidRPr="008123C7">
        <w:t xml:space="preserve"> miejsca/osoby wyświetla wartości:</w:t>
      </w:r>
    </w:p>
    <w:p w:rsidR="00986640" w:rsidRPr="008123C7" w:rsidRDefault="00986640" w:rsidP="00986640">
      <w:pPr>
        <w:pStyle w:val="Akapit-wyliczanka-o"/>
      </w:pPr>
      <w:r w:rsidRPr="008123C7">
        <w:t>Jeżeli jest niedobór ilościowy to wartość jest proporcją (wartość z kartoteki / ilość z kartoteki x ilość spisana).</w:t>
      </w:r>
    </w:p>
    <w:p w:rsidR="00986640" w:rsidRPr="008123C7" w:rsidRDefault="00986640" w:rsidP="00986640">
      <w:pPr>
        <w:pStyle w:val="Akapit-wyliczanka-o"/>
      </w:pPr>
      <w:r w:rsidRPr="008123C7">
        <w:t xml:space="preserve">Jeżeli jest nadwyżka ilościowa to </w:t>
      </w:r>
      <w:proofErr w:type="spellStart"/>
      <w:r>
        <w:t>j.w</w:t>
      </w:r>
      <w:proofErr w:type="spellEnd"/>
      <w:r w:rsidRPr="008123C7">
        <w:t xml:space="preserve"> .</w:t>
      </w:r>
    </w:p>
    <w:p w:rsidR="00986640" w:rsidRPr="008123C7" w:rsidRDefault="00986640" w:rsidP="00986640">
      <w:pPr>
        <w:pStyle w:val="Akapit-wyliczanka-o"/>
      </w:pPr>
      <w:r w:rsidRPr="008123C7">
        <w:t>Jeżeli jest nadwyżka ilościowa w związku z zaewidencjonowaniem w innym miejscu (lub należącego do innej osoby) to wartość jest proporcją (wartość z kartoteki / ilość z kartoteki x ilość spisana).</w:t>
      </w:r>
    </w:p>
    <w:p w:rsidR="00986640" w:rsidRPr="008123C7" w:rsidRDefault="00986640" w:rsidP="00986640">
      <w:pPr>
        <w:pStyle w:val="Akapit-wyliczanka-o"/>
      </w:pPr>
      <w:r w:rsidRPr="008123C7">
        <w:lastRenderedPageBreak/>
        <w:t xml:space="preserve">Jeżeli jest nadwyżka środka (nie ilościowego) w związku </w:t>
      </w:r>
      <w:r>
        <w:t xml:space="preserve"> </w:t>
      </w:r>
      <w:r w:rsidRPr="008123C7">
        <w:t>z zaewidencjonowaniem w innym miejscu (lub należącego do innej osoby) to wartość z kartoteki.</w:t>
      </w:r>
    </w:p>
    <w:p w:rsidR="00986640" w:rsidRPr="00BA3F78" w:rsidRDefault="00986640" w:rsidP="00986640">
      <w:pPr>
        <w:pStyle w:val="Akapit-ustalenie"/>
        <w:rPr>
          <w:noProof/>
        </w:rPr>
      </w:pPr>
      <w:r w:rsidRPr="00BA3F78">
        <w:rPr>
          <w:noProof/>
        </w:rPr>
        <w:t xml:space="preserve">Wydruk różnic inwentaryzacyjnych </w:t>
      </w:r>
    </w:p>
    <w:p w:rsidR="00986640" w:rsidRPr="008123C7" w:rsidRDefault="00986640" w:rsidP="00986640">
      <w:pPr>
        <w:pStyle w:val="Akapit-tre"/>
      </w:pPr>
      <w:r>
        <w:t>W</w:t>
      </w:r>
      <w:r w:rsidRPr="008123C7">
        <w:t xml:space="preserve">ykazuje wszystkie pozycje środków z kartoteki oprócz tych ze statusem 'Istnieje w spisie' (czyli spisanych bez żadnych nieprawidłowości). Dla różnic ilościowych i zmian miejsca/osoby wyświetla wartości: </w:t>
      </w:r>
    </w:p>
    <w:p w:rsidR="00986640" w:rsidRPr="008123C7" w:rsidRDefault="00986640" w:rsidP="00986640">
      <w:pPr>
        <w:pStyle w:val="Akapit-wyliczanka-o"/>
      </w:pPr>
      <w:r w:rsidRPr="008123C7">
        <w:t>Jeżeli jest niedobór ilościowy to wartość jest proporcją dla ilości niedoboru (wartość z kartoteki / ilość z kartoteki x (ilość z kartoteki - ilość spisana)).</w:t>
      </w:r>
    </w:p>
    <w:p w:rsidR="00986640" w:rsidRPr="008123C7" w:rsidRDefault="00986640" w:rsidP="00986640">
      <w:pPr>
        <w:pStyle w:val="Akapit-wyliczanka-o"/>
      </w:pPr>
      <w:r w:rsidRPr="008123C7">
        <w:t xml:space="preserve">Jeżeli jest nadwyżka ilościowa to </w:t>
      </w:r>
      <w:proofErr w:type="spellStart"/>
      <w:r>
        <w:t>j.w</w:t>
      </w:r>
      <w:proofErr w:type="spellEnd"/>
      <w:r w:rsidRPr="008123C7">
        <w:t>.</w:t>
      </w:r>
    </w:p>
    <w:p w:rsidR="00986640" w:rsidRPr="008123C7" w:rsidRDefault="00986640" w:rsidP="00986640">
      <w:pPr>
        <w:pStyle w:val="Akapit-wyliczanka-o"/>
      </w:pPr>
      <w:r w:rsidRPr="008123C7">
        <w:t>Jeżeli jest nadwyżka ilościowa w związku z zaewidencjonowaniem w innym miejscu (lub należącego do innej osoby) to wartość ujemna liczona proporcją (wartość z kartoteki / ilość z kartoteki x ilość spisana x (-1)).</w:t>
      </w:r>
    </w:p>
    <w:p w:rsidR="00986640" w:rsidRPr="008123C7" w:rsidRDefault="00986640" w:rsidP="00986640">
      <w:pPr>
        <w:pStyle w:val="Akapit-wyliczanka-o"/>
      </w:pPr>
      <w:r w:rsidRPr="008123C7">
        <w:t>Jeżeli jest nadwyżka środka (nie ilościowego) w związku</w:t>
      </w:r>
      <w:r>
        <w:t xml:space="preserve"> </w:t>
      </w:r>
      <w:r w:rsidRPr="008123C7">
        <w:t xml:space="preserve"> z zaewidencjonowaniem w innym miejscu (lub należącego do innej osoby) to wartość ujemna z kartoteki.</w:t>
      </w:r>
    </w:p>
    <w:p w:rsidR="00986640" w:rsidRPr="008123C7" w:rsidRDefault="00986640" w:rsidP="00986640">
      <w:pPr>
        <w:pStyle w:val="Akapit-tre"/>
      </w:pPr>
      <w:r w:rsidRPr="008123C7">
        <w:t>Na wydruku</w:t>
      </w:r>
      <w:r>
        <w:t xml:space="preserve"> </w:t>
      </w:r>
      <w:r w:rsidRPr="008123C7">
        <w:t xml:space="preserve"> różnic nadwyżka jest ujemna aby można było uzgodnić inwentaryzację. Wtedy:</w:t>
      </w:r>
    </w:p>
    <w:p w:rsidR="00986640" w:rsidRPr="008123C7" w:rsidRDefault="00986640" w:rsidP="00986640">
      <w:pPr>
        <w:pStyle w:val="Akapit-tre"/>
      </w:pPr>
      <w:r w:rsidRPr="008123C7">
        <w:t xml:space="preserve">+ 'Wydruk stanu inwentaryzacji' </w:t>
      </w:r>
    </w:p>
    <w:p w:rsidR="00986640" w:rsidRPr="008123C7" w:rsidRDefault="00986640" w:rsidP="00986640">
      <w:pPr>
        <w:pStyle w:val="Akapit-tre"/>
      </w:pPr>
      <w:r w:rsidRPr="008123C7">
        <w:t xml:space="preserve">+ 'Wydruk różnic inwentaryzacyjnych' </w:t>
      </w:r>
    </w:p>
    <w:p w:rsidR="00986640" w:rsidRPr="008123C7" w:rsidRDefault="00986640" w:rsidP="00986640">
      <w:pPr>
        <w:pStyle w:val="Akapit-tre"/>
      </w:pPr>
      <w:r w:rsidRPr="008123C7">
        <w:t xml:space="preserve">= 'Zestawienie wartościowe MT - Ogólne' ze stanem </w:t>
      </w:r>
      <w:r>
        <w:t xml:space="preserve"> </w:t>
      </w:r>
      <w:r w:rsidRPr="008123C7">
        <w:t>na dzień inwentaryzacji</w:t>
      </w:r>
    </w:p>
    <w:p w:rsidR="00986640" w:rsidRPr="008123C7" w:rsidRDefault="00986640" w:rsidP="00986640">
      <w:pPr>
        <w:pStyle w:val="Akapit-tre"/>
      </w:pPr>
      <w:r w:rsidRPr="008123C7">
        <w:t xml:space="preserve">Pisząc </w:t>
      </w:r>
      <w:r>
        <w:t>‘</w:t>
      </w:r>
      <w:r w:rsidRPr="008123C7">
        <w:t>wartość z kartoteki</w:t>
      </w:r>
      <w:r>
        <w:t>’</w:t>
      </w:r>
      <w:r w:rsidRPr="008123C7">
        <w:t xml:space="preserve"> mamy na myśli wartość z kartoteki wg stanu na dzień inwentaryzacji.</w:t>
      </w:r>
    </w:p>
    <w:p w:rsidR="00986640" w:rsidRPr="0046709E" w:rsidRDefault="00986640" w:rsidP="00986640">
      <w:pPr>
        <w:pStyle w:val="Akapit-tre"/>
        <w:rPr>
          <w:rFonts w:ascii="Times New Roman" w:hAnsi="Times New Roman" w:cs="Times New Roman"/>
        </w:rPr>
      </w:pPr>
      <w:r w:rsidRPr="002D1E2F">
        <w:t>Po uzgodnieniu można zatwierdzić inwentaryzację. W przypadku zaistnienia różnic pojawia się pytanie:</w:t>
      </w:r>
    </w:p>
    <w:p w:rsidR="00986640" w:rsidRPr="008123C7" w:rsidRDefault="00986640" w:rsidP="00986640">
      <w:pPr>
        <w:pStyle w:val="RYSUNEK"/>
      </w:pPr>
      <w:r>
        <w:drawing>
          <wp:inline distT="0" distB="0" distL="0" distR="0">
            <wp:extent cx="4977441" cy="2572254"/>
            <wp:effectExtent l="0" t="0" r="0" b="0"/>
            <wp:docPr id="1299" name="Obraz 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805" cy="257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8123C7" w:rsidRDefault="00986640" w:rsidP="00986640">
      <w:pPr>
        <w:pStyle w:val="Akapit-tre"/>
      </w:pPr>
      <w:r w:rsidRPr="008123C7">
        <w:t>Po odpowiedzi twierdzącej na dodatkowe pytanie o generację automatycznych dokumentów inwentaryzacja zostaje zatwierdzona a użytkownik otrzymuje informację:</w:t>
      </w:r>
    </w:p>
    <w:p w:rsidR="00986640" w:rsidRPr="008123C7" w:rsidRDefault="00986640" w:rsidP="00986640">
      <w:pPr>
        <w:pStyle w:val="RYSUNEK"/>
      </w:pPr>
      <w:r>
        <w:lastRenderedPageBreak/>
        <w:drawing>
          <wp:inline distT="0" distB="0" distL="0" distR="0">
            <wp:extent cx="4787661" cy="2578056"/>
            <wp:effectExtent l="0" t="0" r="0" b="0"/>
            <wp:docPr id="1300" name="Obraz 1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048" cy="257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2D1E2F" w:rsidRDefault="00986640" w:rsidP="00986640">
      <w:pPr>
        <w:pStyle w:val="Akapit-tre"/>
      </w:pPr>
      <w:r w:rsidRPr="002D1E2F">
        <w:t xml:space="preserve">Możemy teraz wydrukować raport  </w:t>
      </w:r>
      <w:r w:rsidRPr="002D1E2F">
        <w:rPr>
          <w:i/>
        </w:rPr>
        <w:t>Lista wygenerowanych operacji</w:t>
      </w:r>
      <w:r w:rsidRPr="002D1E2F">
        <w:t xml:space="preserve"> : </w:t>
      </w:r>
    </w:p>
    <w:p w:rsidR="00986640" w:rsidRPr="008123C7" w:rsidRDefault="00986640" w:rsidP="00986640">
      <w:pPr>
        <w:pStyle w:val="RYSUNEK"/>
      </w:pPr>
      <w:r>
        <w:drawing>
          <wp:inline distT="0" distB="0" distL="0" distR="0">
            <wp:extent cx="4955179" cy="1604513"/>
            <wp:effectExtent l="0" t="0" r="0" b="0"/>
            <wp:docPr id="1301" name="Obraz 1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107" cy="160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Pr="002D1E2F" w:rsidRDefault="00986640" w:rsidP="00986640">
      <w:pPr>
        <w:pStyle w:val="Akapit-tre"/>
      </w:pPr>
      <w:r w:rsidRPr="002D1E2F">
        <w:t xml:space="preserve">Koniec. Operacje czekają na liście operacji na przegląd, uzupełnienie danych (OT) i zatwierdzenie. Możemy je podejrzeć klikając na ikonę </w:t>
      </w:r>
      <w:r w:rsidRPr="002D1E2F">
        <w:rPr>
          <w:noProof/>
          <w:lang w:eastAsia="pl-PL"/>
        </w:rPr>
        <w:drawing>
          <wp:inline distT="0" distB="0" distL="0" distR="0">
            <wp:extent cx="241300" cy="207010"/>
            <wp:effectExtent l="0" t="0" r="6350" b="2540"/>
            <wp:docPr id="1302" name="Obraz 1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1E2F">
        <w:rPr>
          <w:lang w:eastAsia="pl-PL"/>
        </w:rPr>
        <w:t xml:space="preserve"> </w:t>
      </w:r>
      <w:r w:rsidRPr="002D1E2F">
        <w:rPr>
          <w:i/>
          <w:lang w:eastAsia="pl-PL"/>
        </w:rPr>
        <w:t>Powiązania</w:t>
      </w:r>
      <w:r w:rsidRPr="002D1E2F">
        <w:rPr>
          <w:lang w:eastAsia="pl-PL"/>
        </w:rPr>
        <w:t xml:space="preserve">. </w:t>
      </w:r>
    </w:p>
    <w:p w:rsidR="00986640" w:rsidRPr="002D1E2F" w:rsidRDefault="00986640" w:rsidP="00986640">
      <w:pPr>
        <w:pStyle w:val="Akapit-tre"/>
        <w:rPr>
          <w:lang w:eastAsia="pl-PL"/>
        </w:rPr>
      </w:pPr>
      <w:r w:rsidRPr="002D1E2F">
        <w:rPr>
          <w:lang w:eastAsia="pl-PL"/>
        </w:rPr>
        <w:t xml:space="preserve">Jeżeli nie wygenerowaliśmy automatycznych dokumentów podczas zatwierdzania to możemy zrobić to teraz, ikonami </w:t>
      </w:r>
      <w:r w:rsidRPr="002D1E2F">
        <w:rPr>
          <w:noProof/>
          <w:lang w:eastAsia="pl-PL"/>
        </w:rPr>
        <w:drawing>
          <wp:inline distT="0" distB="0" distL="0" distR="0">
            <wp:extent cx="241300" cy="198120"/>
            <wp:effectExtent l="0" t="0" r="6350" b="0"/>
            <wp:docPr id="1303" name="Obraz 1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1E2F">
        <w:rPr>
          <w:lang w:eastAsia="pl-PL"/>
        </w:rPr>
        <w:t xml:space="preserve">  (</w:t>
      </w:r>
      <w:r w:rsidRPr="002D1E2F">
        <w:rPr>
          <w:i/>
          <w:lang w:eastAsia="pl-PL"/>
        </w:rPr>
        <w:t xml:space="preserve">Generacja operacji MT dla pozycji – </w:t>
      </w:r>
      <w:r w:rsidRPr="002D1E2F">
        <w:rPr>
          <w:lang w:eastAsia="pl-PL"/>
        </w:rPr>
        <w:t xml:space="preserve">tylko dla zaznaczonej pozycji) lub </w:t>
      </w:r>
      <w:r w:rsidRPr="002D1E2F">
        <w:rPr>
          <w:noProof/>
          <w:lang w:eastAsia="pl-PL"/>
        </w:rPr>
        <w:drawing>
          <wp:inline distT="0" distB="0" distL="0" distR="0">
            <wp:extent cx="233045" cy="215900"/>
            <wp:effectExtent l="0" t="0" r="0" b="0"/>
            <wp:docPr id="1304" name="Obraz 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1E2F">
        <w:rPr>
          <w:lang w:eastAsia="pl-PL"/>
        </w:rPr>
        <w:t xml:space="preserve"> (</w:t>
      </w:r>
      <w:r w:rsidRPr="002D1E2F">
        <w:rPr>
          <w:i/>
          <w:lang w:eastAsia="pl-PL"/>
        </w:rPr>
        <w:t>Generacja operacji MT</w:t>
      </w:r>
      <w:r w:rsidRPr="002D1E2F">
        <w:rPr>
          <w:lang w:eastAsia="pl-PL"/>
        </w:rPr>
        <w:t xml:space="preserve"> – dla całego dokumentu inwentaryzacji).  Podczas generacji zmienia się opis statusu  niedoborów i nadwyżek – dodawane są znaki ‘\Wyg.’ Czyli ‘Wygenerowano’ – przykład na rysunku poniżej:</w:t>
      </w:r>
    </w:p>
    <w:p w:rsidR="00986640" w:rsidRPr="001A4997" w:rsidRDefault="00986640" w:rsidP="00986640">
      <w:pPr>
        <w:pStyle w:val="RYSUNEK"/>
      </w:pPr>
      <w:r>
        <w:lastRenderedPageBreak/>
        <w:drawing>
          <wp:inline distT="0" distB="0" distL="0" distR="0">
            <wp:extent cx="4045585" cy="1975485"/>
            <wp:effectExtent l="0" t="0" r="0" b="5715"/>
            <wp:docPr id="1305" name="Obraz 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585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Default="00986640" w:rsidP="00986640">
      <w:pPr>
        <w:pStyle w:val="Akapit-tre"/>
      </w:pPr>
      <w:r>
        <w:t>Po zatwierdzeniu wygenerowanych operacji status zmieni się na ‘zatwierdzona’. Jeżeli wygenerowana operacja zostanie usunięta status środka zostanie przywrócony.</w:t>
      </w:r>
    </w:p>
    <w:p w:rsidR="00986640" w:rsidRDefault="00986640" w:rsidP="00986640">
      <w:pPr>
        <w:pStyle w:val="Akapit-tre"/>
        <w:rPr>
          <w:lang w:eastAsia="pl-PL"/>
        </w:rPr>
      </w:pPr>
      <w:r w:rsidRPr="008123C7">
        <w:t>Po zatwierdzeniu inwentaryzacji</w:t>
      </w:r>
      <w:r>
        <w:t xml:space="preserve"> nie można jej już edytować. Istnieje jednak możliwość anulowania poprzez użycie ikony </w:t>
      </w:r>
      <w:r>
        <w:rPr>
          <w:noProof/>
          <w:lang w:eastAsia="pl-PL"/>
        </w:rPr>
        <w:drawing>
          <wp:inline distT="0" distB="0" distL="0" distR="0">
            <wp:extent cx="198120" cy="198120"/>
            <wp:effectExtent l="0" t="0" r="0" b="0"/>
            <wp:docPr id="1306" name="Obraz 1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pl-PL"/>
        </w:rPr>
        <w:t xml:space="preserve"> </w:t>
      </w:r>
      <w:r>
        <w:rPr>
          <w:i/>
          <w:lang w:eastAsia="pl-PL"/>
        </w:rPr>
        <w:t>Anuluj</w:t>
      </w:r>
      <w:r>
        <w:rPr>
          <w:lang w:eastAsia="pl-PL"/>
        </w:rPr>
        <w:t>. Jeśli wygenerowaliśmy automatyczne operacje to przed anulowaniem pojawi się pytanie:</w:t>
      </w:r>
    </w:p>
    <w:p w:rsidR="00986640" w:rsidRDefault="00986640" w:rsidP="00986640">
      <w:pPr>
        <w:pStyle w:val="RYSUNEK"/>
      </w:pPr>
      <w:r>
        <w:drawing>
          <wp:inline distT="0" distB="0" distL="0" distR="0">
            <wp:extent cx="4391025" cy="793750"/>
            <wp:effectExtent l="0" t="0" r="9525" b="6350"/>
            <wp:docPr id="1307" name="Obraz 1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640" w:rsidRDefault="00986640" w:rsidP="00986640">
      <w:pPr>
        <w:pStyle w:val="Akapit-tre"/>
        <w:rPr>
          <w:lang w:eastAsia="pl-PL"/>
        </w:rPr>
      </w:pPr>
      <w:proofErr w:type="spellStart"/>
      <w:r>
        <w:rPr>
          <w:lang w:eastAsia="pl-PL"/>
        </w:rPr>
        <w:t>Odtwierdzenie</w:t>
      </w:r>
      <w:proofErr w:type="spellEnd"/>
      <w:r>
        <w:rPr>
          <w:lang w:eastAsia="pl-PL"/>
        </w:rPr>
        <w:t xml:space="preserve"> nie będzie możliwe jeśli </w:t>
      </w:r>
      <w:proofErr w:type="spellStart"/>
      <w:r>
        <w:rPr>
          <w:lang w:eastAsia="pl-PL"/>
        </w:rPr>
        <w:t>zatwierdzilismy</w:t>
      </w:r>
      <w:proofErr w:type="spellEnd"/>
      <w:r>
        <w:rPr>
          <w:lang w:eastAsia="pl-PL"/>
        </w:rPr>
        <w:t xml:space="preserve"> automatyczne operacje.</w:t>
      </w:r>
    </w:p>
    <w:p w:rsidR="00986640" w:rsidRPr="002D1E2F" w:rsidRDefault="00986640" w:rsidP="00986640">
      <w:pPr>
        <w:pStyle w:val="Akapit-ramka-czerwony"/>
        <w:rPr>
          <w:lang w:eastAsia="pl-PL"/>
        </w:rPr>
      </w:pPr>
      <w:r w:rsidRPr="002D1E2F">
        <w:rPr>
          <w:lang w:eastAsia="pl-PL"/>
        </w:rPr>
        <w:t>Uwaga – nie ma obowiązku generowania automatycznych operacji. Możemy wprowadzić te operacje ręcznie, jednak nie będą miały wtedy powiązania z pozycjami inwentaryzacji.</w:t>
      </w:r>
    </w:p>
    <w:p w:rsidR="002C63A6" w:rsidRDefault="002C63A6"/>
    <w:sectPr w:rsidR="002C63A6" w:rsidSect="00C11FFE">
      <w:headerReference w:type="default" r:id="rId33"/>
      <w:footerReference w:type="default" r:id="rId34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084" w:rsidRDefault="00B87084" w:rsidP="00C11FFE">
      <w:r>
        <w:separator/>
      </w:r>
    </w:p>
  </w:endnote>
  <w:endnote w:type="continuationSeparator" w:id="0">
    <w:p w:rsidR="00B87084" w:rsidRDefault="00B87084" w:rsidP="00C11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CAD" w:rsidRPr="00E6580C" w:rsidRDefault="00765CAD" w:rsidP="00765CAD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„</w:t>
    </w:r>
    <w:r w:rsidRPr="00E6580C">
      <w:rPr>
        <w:b/>
        <w:spacing w:val="-4"/>
        <w:sz w:val="20"/>
        <w:szCs w:val="20"/>
      </w:rPr>
      <w:t xml:space="preserve">NAUKA – Nowoczesna Administracja Uczelni </w:t>
    </w:r>
    <w:r>
      <w:rPr>
        <w:b/>
        <w:spacing w:val="-4"/>
        <w:sz w:val="20"/>
        <w:szCs w:val="20"/>
      </w:rPr>
      <w:t>oraz</w:t>
    </w:r>
    <w:r w:rsidRPr="00E6580C">
      <w:rPr>
        <w:b/>
        <w:spacing w:val="-4"/>
        <w:sz w:val="20"/>
        <w:szCs w:val="20"/>
      </w:rPr>
      <w:t xml:space="preserve"> Kadra Akademicka</w:t>
    </w:r>
    <w:r w:rsidRPr="00E6580C">
      <w:rPr>
        <w:sz w:val="20"/>
        <w:szCs w:val="20"/>
      </w:rPr>
      <w:t>”</w:t>
    </w:r>
  </w:p>
  <w:p w:rsidR="00765CAD" w:rsidRPr="00E6580C" w:rsidRDefault="00765CAD" w:rsidP="00765CAD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Projekt współfinansowany ze środków Unii Europejskiej w ramach</w:t>
    </w:r>
    <w:r>
      <w:rPr>
        <w:sz w:val="20"/>
        <w:szCs w:val="20"/>
      </w:rPr>
      <w:t xml:space="preserve"> Europejskiego Funduszu Społecznego</w:t>
    </w:r>
  </w:p>
  <w:p w:rsidR="00C11FFE" w:rsidRPr="00765CAD" w:rsidRDefault="00765CAD" w:rsidP="00765CAD">
    <w:pPr>
      <w:pStyle w:val="Stopka"/>
      <w:jc w:val="center"/>
      <w:rPr>
        <w:sz w:val="20"/>
        <w:szCs w:val="20"/>
      </w:rPr>
    </w:pPr>
    <w:r w:rsidRPr="00E6580C">
      <w:rPr>
        <w:sz w:val="20"/>
        <w:szCs w:val="20"/>
      </w:rPr>
      <w:t>Umowa nr</w:t>
    </w:r>
    <w:r>
      <w:rPr>
        <w:sz w:val="20"/>
        <w:szCs w:val="20"/>
      </w:rPr>
      <w:t xml:space="preserve"> </w:t>
    </w:r>
    <w:r w:rsidRPr="00BA45A2">
      <w:rPr>
        <w:b/>
        <w:sz w:val="20"/>
        <w:szCs w:val="20"/>
      </w:rPr>
      <w:t xml:space="preserve">UDA - </w:t>
    </w:r>
    <w:r w:rsidRPr="00BA45A2">
      <w:rPr>
        <w:b/>
        <w:spacing w:val="-4"/>
        <w:sz w:val="20"/>
        <w:szCs w:val="20"/>
      </w:rPr>
      <w:t>POKL</w:t>
    </w:r>
    <w:r w:rsidRPr="00E6580C">
      <w:rPr>
        <w:b/>
        <w:spacing w:val="-4"/>
        <w:sz w:val="20"/>
        <w:szCs w:val="20"/>
      </w:rPr>
      <w:t>.04.01.01-00-023/11-00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084" w:rsidRDefault="00B87084" w:rsidP="00C11FFE">
      <w:r>
        <w:separator/>
      </w:r>
    </w:p>
  </w:footnote>
  <w:footnote w:type="continuationSeparator" w:id="0">
    <w:p w:rsidR="00B87084" w:rsidRDefault="00B87084" w:rsidP="00C11F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FFE" w:rsidRDefault="00C11FF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-1905</wp:posOffset>
          </wp:positionV>
          <wp:extent cx="6848475" cy="895350"/>
          <wp:effectExtent l="19050" t="0" r="9525" b="0"/>
          <wp:wrapTopAndBottom/>
          <wp:docPr id="1" name="Obraz 0" descr="pok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k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8475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17556"/>
    <w:multiLevelType w:val="hybridMultilevel"/>
    <w:tmpl w:val="48B837F8"/>
    <w:lvl w:ilvl="0" w:tplc="D020E5C6">
      <w:start w:val="1"/>
      <w:numFmt w:val="bullet"/>
      <w:pStyle w:val="Akapit-wyliczanka-o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D8329B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11FFE"/>
    <w:rsid w:val="002B17CE"/>
    <w:rsid w:val="002C63A6"/>
    <w:rsid w:val="00415262"/>
    <w:rsid w:val="00514BC1"/>
    <w:rsid w:val="006C7808"/>
    <w:rsid w:val="00765CAD"/>
    <w:rsid w:val="00782A41"/>
    <w:rsid w:val="00986640"/>
    <w:rsid w:val="009F5C30"/>
    <w:rsid w:val="00A43377"/>
    <w:rsid w:val="00B81BF0"/>
    <w:rsid w:val="00B87084"/>
    <w:rsid w:val="00C05D17"/>
    <w:rsid w:val="00C11FFE"/>
    <w:rsid w:val="00E8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BF0"/>
    <w:pPr>
      <w:ind w:left="0" w:firstLine="0"/>
    </w:pPr>
  </w:style>
  <w:style w:type="paragraph" w:styleId="Nagwek3">
    <w:name w:val="heading 3"/>
    <w:basedOn w:val="Normalny"/>
    <w:link w:val="Nagwek3Znak"/>
    <w:uiPriority w:val="9"/>
    <w:unhideWhenUsed/>
    <w:qFormat/>
    <w:rsid w:val="00986640"/>
    <w:pPr>
      <w:keepNext/>
      <w:keepLines/>
      <w:spacing w:before="200" w:after="200"/>
      <w:outlineLvl w:val="2"/>
    </w:pPr>
    <w:rPr>
      <w:rFonts w:ascii="Calibri" w:eastAsia="Times New Roman" w:hAnsi="Calibri" w:cs="Times New Roman"/>
      <w:b/>
      <w:bCs/>
      <w:color w:val="1F497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FFE"/>
  </w:style>
  <w:style w:type="paragraph" w:styleId="Stopka">
    <w:name w:val="footer"/>
    <w:basedOn w:val="Normalny"/>
    <w:link w:val="Stopka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FFE"/>
  </w:style>
  <w:style w:type="character" w:customStyle="1" w:styleId="Nagwek3Znak">
    <w:name w:val="Nagłówek 3 Znak"/>
    <w:basedOn w:val="Domylnaczcionkaakapitu"/>
    <w:link w:val="Nagwek3"/>
    <w:uiPriority w:val="9"/>
    <w:rsid w:val="00986640"/>
    <w:rPr>
      <w:rFonts w:ascii="Calibri" w:eastAsia="Times New Roman" w:hAnsi="Calibri" w:cs="Times New Roman"/>
      <w:b/>
      <w:bCs/>
      <w:color w:val="1F497D"/>
      <w:sz w:val="24"/>
      <w:szCs w:val="20"/>
    </w:rPr>
  </w:style>
  <w:style w:type="paragraph" w:customStyle="1" w:styleId="Akapit-wyliczanka-o">
    <w:name w:val="Akapit-wyliczanka-o"/>
    <w:basedOn w:val="Normalny"/>
    <w:link w:val="Akapit-wyliczanka-oZnak"/>
    <w:rsid w:val="00986640"/>
    <w:pPr>
      <w:numPr>
        <w:numId w:val="1"/>
      </w:numPr>
      <w:spacing w:before="40" w:after="40"/>
      <w:jc w:val="left"/>
    </w:pPr>
    <w:rPr>
      <w:rFonts w:ascii="Calibri" w:eastAsia="Arial Unicode MS" w:hAnsi="Calibri" w:cs="Times New Roman"/>
      <w:sz w:val="20"/>
      <w:szCs w:val="24"/>
      <w:lang w:eastAsia="pl-PL"/>
    </w:rPr>
  </w:style>
  <w:style w:type="character" w:customStyle="1" w:styleId="Akapit-wyliczanka-oZnak">
    <w:name w:val="Akapit-wyliczanka-o Znak"/>
    <w:link w:val="Akapit-wyliczanka-o"/>
    <w:rsid w:val="00986640"/>
    <w:rPr>
      <w:rFonts w:ascii="Calibri" w:eastAsia="Arial Unicode MS" w:hAnsi="Calibri" w:cs="Times New Roman"/>
      <w:sz w:val="20"/>
      <w:szCs w:val="24"/>
      <w:lang w:eastAsia="pl-PL"/>
    </w:rPr>
  </w:style>
  <w:style w:type="paragraph" w:styleId="Legenda">
    <w:name w:val="caption"/>
    <w:basedOn w:val="Normalny"/>
    <w:next w:val="Akapit-tre"/>
    <w:unhideWhenUsed/>
    <w:qFormat/>
    <w:rsid w:val="00986640"/>
    <w:pPr>
      <w:spacing w:before="200" w:after="200"/>
    </w:pPr>
    <w:rPr>
      <w:rFonts w:eastAsia="Calibri" w:cs="Times New Roman"/>
      <w:bCs/>
      <w:i/>
      <w:color w:val="365F91"/>
      <w:sz w:val="20"/>
      <w:szCs w:val="18"/>
    </w:rPr>
  </w:style>
  <w:style w:type="paragraph" w:customStyle="1" w:styleId="RYSUNEK">
    <w:name w:val="RYSUNEK"/>
    <w:basedOn w:val="Normalny"/>
    <w:rsid w:val="00986640"/>
    <w:pPr>
      <w:spacing w:before="240" w:after="240"/>
      <w:jc w:val="left"/>
    </w:pPr>
    <w:rPr>
      <w:rFonts w:ascii="Calibri" w:eastAsia="Calibri" w:hAnsi="Calibri" w:cs="Times New Roman"/>
      <w:noProof/>
      <w:lang w:eastAsia="pl-PL"/>
    </w:rPr>
  </w:style>
  <w:style w:type="character" w:customStyle="1" w:styleId="Akapit-treZnak">
    <w:name w:val="Akapit-treść Znak"/>
    <w:basedOn w:val="Domylnaczcionkaakapitu"/>
    <w:link w:val="Akapit-tre"/>
    <w:uiPriority w:val="99"/>
    <w:rsid w:val="00986640"/>
    <w:rPr>
      <w:rFonts w:cs="Arial"/>
    </w:rPr>
  </w:style>
  <w:style w:type="paragraph" w:customStyle="1" w:styleId="Akapit-tre">
    <w:name w:val="Akapit-treść"/>
    <w:basedOn w:val="Normalny"/>
    <w:link w:val="Akapit-treZnak"/>
    <w:uiPriority w:val="99"/>
    <w:qFormat/>
    <w:rsid w:val="00986640"/>
    <w:pPr>
      <w:spacing w:before="120" w:after="120"/>
    </w:pPr>
    <w:rPr>
      <w:rFonts w:cs="Arial"/>
    </w:rPr>
  </w:style>
  <w:style w:type="paragraph" w:customStyle="1" w:styleId="Akapit-ustalenie">
    <w:name w:val="Akapit-ustalenie"/>
    <w:basedOn w:val="Akapit-tre"/>
    <w:rsid w:val="00986640"/>
    <w:rPr>
      <w:b/>
      <w:color w:val="365F91" w:themeColor="accent1" w:themeShade="BF"/>
    </w:rPr>
  </w:style>
  <w:style w:type="paragraph" w:customStyle="1" w:styleId="Akapit-ramka-czerwony">
    <w:name w:val="Akapit-ramka-czerwony"/>
    <w:basedOn w:val="Akapitzlist"/>
    <w:rsid w:val="00986640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pacing w:after="200"/>
      <w:ind w:left="0"/>
      <w:jc w:val="left"/>
    </w:pPr>
    <w:rPr>
      <w:rFonts w:ascii="Calibri" w:eastAsia="Calibri" w:hAnsi="Calibri" w:cs="Times New Roman"/>
      <w:b/>
      <w:color w:val="FF0000"/>
    </w:rPr>
  </w:style>
  <w:style w:type="paragraph" w:styleId="Akapitzlist">
    <w:name w:val="List Paragraph"/>
    <w:basedOn w:val="Normalny"/>
    <w:uiPriority w:val="34"/>
    <w:qFormat/>
    <w:rsid w:val="009866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6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BF0"/>
    <w:pPr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FFE"/>
  </w:style>
  <w:style w:type="paragraph" w:styleId="Stopka">
    <w:name w:val="footer"/>
    <w:basedOn w:val="Normalny"/>
    <w:link w:val="Stopka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F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1627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Morska</Company>
  <LinksUpToDate>false</LinksUpToDate>
  <CharactersWithSpaces>11373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abaczynska</dc:creator>
  <cp:lastModifiedBy>dbr</cp:lastModifiedBy>
  <cp:revision>3</cp:revision>
  <dcterms:created xsi:type="dcterms:W3CDTF">2014-01-29T17:23:00Z</dcterms:created>
  <dcterms:modified xsi:type="dcterms:W3CDTF">2014-01-29T17:25:00Z</dcterms:modified>
</cp:coreProperties>
</file>